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B0CD" w14:textId="77777777" w:rsidR="00D72536" w:rsidRPr="00D72536" w:rsidRDefault="00D72536" w:rsidP="00D72536">
      <w:pPr>
        <w:keepNext/>
        <w:keepLines/>
        <w:spacing w:after="0" w:line="480" w:lineRule="auto"/>
        <w:outlineLvl w:val="0"/>
        <w:rPr>
          <w:rFonts w:ascii="Calibri" w:eastAsia="Times New Roman" w:hAnsi="Calibri" w:cs="Calibri"/>
          <w:sz w:val="24"/>
          <w:szCs w:val="24"/>
        </w:rPr>
      </w:pPr>
      <w:r w:rsidRPr="00D72536">
        <w:rPr>
          <w:rFonts w:ascii="Arial" w:eastAsiaTheme="majorEastAsia" w:hAnsi="Arial" w:cs="Arial"/>
          <w:b/>
          <w:sz w:val="32"/>
          <w:szCs w:val="32"/>
        </w:rPr>
        <w:t>MATERIAL SUPLEMENTAR</w:t>
      </w:r>
    </w:p>
    <w:p w14:paraId="65C880D0" w14:textId="77777777" w:rsidR="00D72536" w:rsidRPr="00D72536" w:rsidRDefault="00D72536" w:rsidP="00D72536">
      <w:pPr>
        <w:spacing w:before="60" w:after="60" w:line="480" w:lineRule="auto"/>
        <w:rPr>
          <w:rFonts w:ascii="Arial" w:eastAsia="Times New Roman" w:hAnsi="Arial" w:cs="Arial"/>
          <w:b/>
          <w:bCs/>
          <w:sz w:val="20"/>
          <w:lang w:eastAsia="fr-FR"/>
        </w:rPr>
      </w:pPr>
      <w:bookmarkStart w:id="0" w:name="_Ref365454828"/>
      <w:bookmarkStart w:id="1" w:name="_Toc358290638"/>
      <w:bookmarkStart w:id="2" w:name="_Toc370395784"/>
      <w:bookmarkStart w:id="3" w:name="_Toc457225848"/>
      <w:bookmarkStart w:id="4" w:name="_Toc483336853"/>
      <w:bookmarkStart w:id="5" w:name="_Toc489039080"/>
      <w:r w:rsidRPr="00D72536">
        <w:rPr>
          <w:rFonts w:ascii="Arial" w:eastAsia="Times New Roman" w:hAnsi="Arial" w:cs="Arial"/>
          <w:b/>
          <w:bCs/>
          <w:sz w:val="20"/>
          <w:lang w:eastAsia="fr-FR"/>
        </w:rPr>
        <w:t xml:space="preserve">Figura </w:t>
      </w:r>
      <w:bookmarkEnd w:id="0"/>
      <w:r w:rsidRPr="00D72536">
        <w:rPr>
          <w:rFonts w:ascii="Arial" w:eastAsia="Times New Roman" w:hAnsi="Arial" w:cs="Arial"/>
          <w:b/>
          <w:bCs/>
          <w:sz w:val="20"/>
          <w:lang w:eastAsia="fr-FR"/>
        </w:rPr>
        <w:t>1, material suplementar. Peso da idade na definição dos DALY.</w:t>
      </w:r>
      <w:bookmarkEnd w:id="1"/>
      <w:bookmarkEnd w:id="2"/>
      <w:bookmarkEnd w:id="3"/>
      <w:bookmarkEnd w:id="4"/>
      <w:bookmarkEnd w:id="5"/>
    </w:p>
    <w:p w14:paraId="58028B52" w14:textId="77777777" w:rsidR="00D72536" w:rsidRPr="00D72536" w:rsidRDefault="00D72536" w:rsidP="00D72536">
      <w:pPr>
        <w:spacing w:before="60" w:after="60" w:line="480" w:lineRule="auto"/>
        <w:rPr>
          <w:rFonts w:ascii="Arial" w:eastAsia="Times New Roman" w:hAnsi="Arial" w:cs="Arial"/>
          <w:sz w:val="20"/>
          <w:lang w:eastAsia="fr-FR"/>
        </w:rPr>
      </w:pPr>
      <w:r w:rsidRPr="00D72536">
        <w:rPr>
          <w:rFonts w:ascii="Arial" w:eastAsia="Times New Roman" w:hAnsi="Arial" w:cs="Arial"/>
          <w:noProof/>
          <w:sz w:val="20"/>
          <w:lang w:val="en-GB" w:eastAsia="en-GB"/>
        </w:rPr>
        <w:drawing>
          <wp:inline distT="0" distB="0" distL="0" distR="0" wp14:anchorId="79176051" wp14:editId="10D6ED01">
            <wp:extent cx="4667250" cy="2438400"/>
            <wp:effectExtent l="0" t="0" r="0" b="0"/>
            <wp:docPr id="4" name="Objec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A7A7DF" w14:textId="77777777" w:rsidR="00D72536" w:rsidRPr="00D72536" w:rsidRDefault="00D72536" w:rsidP="00D72536">
      <w:pPr>
        <w:spacing w:before="60" w:after="60" w:line="480" w:lineRule="auto"/>
        <w:rPr>
          <w:rFonts w:ascii="Arial" w:eastAsia="Times New Roman" w:hAnsi="Arial" w:cs="Arial"/>
          <w:sz w:val="20"/>
          <w:lang w:eastAsia="fr-FR"/>
        </w:rPr>
      </w:pPr>
      <w:r w:rsidRPr="00D72536">
        <w:rPr>
          <w:rFonts w:ascii="Arial" w:eastAsia="Times New Roman" w:hAnsi="Arial" w:cs="Arial"/>
          <w:sz w:val="20"/>
          <w:lang w:eastAsia="fr-FR"/>
        </w:rPr>
        <w:t xml:space="preserve">Fonte: Adaptado de </w:t>
      </w:r>
      <w:proofErr w:type="spellStart"/>
      <w:r w:rsidRPr="00D72536">
        <w:rPr>
          <w:rFonts w:ascii="Arial" w:eastAsia="Times New Roman" w:hAnsi="Arial" w:cs="Arial"/>
          <w:sz w:val="20"/>
          <w:lang w:eastAsia="fr-FR"/>
        </w:rPr>
        <w:t>Murray</w:t>
      </w:r>
      <w:proofErr w:type="spellEnd"/>
      <w:r w:rsidRPr="00D72536">
        <w:rPr>
          <w:rFonts w:ascii="Arial" w:eastAsia="Times New Roman" w:hAnsi="Arial" w:cs="Arial"/>
          <w:sz w:val="20"/>
          <w:lang w:eastAsia="fr-FR"/>
        </w:rPr>
        <w:t xml:space="preserve"> (1994</w:t>
      </w:r>
      <w:proofErr w:type="gramStart"/>
      <w:r w:rsidRPr="00D72536">
        <w:rPr>
          <w:rFonts w:ascii="Arial" w:eastAsia="Times New Roman" w:hAnsi="Arial" w:cs="Arial"/>
          <w:sz w:val="20"/>
          <w:lang w:eastAsia="fr-FR"/>
        </w:rPr>
        <w:t>).[</w:t>
      </w:r>
      <w:proofErr w:type="gramEnd"/>
      <w:r w:rsidRPr="00D72536">
        <w:rPr>
          <w:rFonts w:ascii="Arial" w:eastAsia="Times New Roman" w:hAnsi="Arial" w:cs="Arial"/>
          <w:sz w:val="20"/>
          <w:lang w:eastAsia="fr-FR"/>
        </w:rPr>
        <w:t>4]</w:t>
      </w:r>
    </w:p>
    <w:p w14:paraId="5EE0031B" w14:textId="77777777" w:rsidR="00D72536" w:rsidRPr="00D72536" w:rsidRDefault="00D72536" w:rsidP="00D72536">
      <w:pPr>
        <w:spacing w:before="60" w:after="60" w:line="480" w:lineRule="auto"/>
        <w:rPr>
          <w:rFonts w:ascii="Arial" w:eastAsia="Times New Roman" w:hAnsi="Arial" w:cs="Arial"/>
          <w:sz w:val="20"/>
          <w:lang w:eastAsia="fr-FR"/>
        </w:rPr>
      </w:pPr>
      <w:r w:rsidRPr="00D72536">
        <w:rPr>
          <w:rFonts w:ascii="Arial" w:eastAsia="Times New Roman" w:hAnsi="Arial" w:cs="Arial"/>
          <w:sz w:val="20"/>
        </w:rPr>
        <w:t xml:space="preserve">DALY - </w:t>
      </w:r>
      <w:proofErr w:type="spellStart"/>
      <w:r w:rsidRPr="00D72536">
        <w:rPr>
          <w:rFonts w:ascii="Arial" w:eastAsia="Times New Roman" w:hAnsi="Arial" w:cs="Arial"/>
          <w:i/>
          <w:sz w:val="20"/>
          <w:lang w:eastAsia="fr-FR"/>
        </w:rPr>
        <w:t>Disability</w:t>
      </w:r>
      <w:proofErr w:type="spellEnd"/>
      <w:r w:rsidRPr="00D72536">
        <w:rPr>
          <w:rFonts w:ascii="Arial" w:eastAsia="Times New Roman" w:hAnsi="Arial" w:cs="Arial"/>
          <w:i/>
          <w:sz w:val="20"/>
          <w:lang w:eastAsia="fr-FR"/>
        </w:rPr>
        <w:t xml:space="preserve"> </w:t>
      </w:r>
      <w:proofErr w:type="spellStart"/>
      <w:r w:rsidRPr="00D72536">
        <w:rPr>
          <w:rFonts w:ascii="Arial" w:eastAsia="Times New Roman" w:hAnsi="Arial" w:cs="Arial"/>
          <w:i/>
          <w:sz w:val="20"/>
          <w:lang w:eastAsia="fr-FR"/>
        </w:rPr>
        <w:t>Adjusted</w:t>
      </w:r>
      <w:proofErr w:type="spellEnd"/>
      <w:r w:rsidRPr="00D72536">
        <w:rPr>
          <w:rFonts w:ascii="Arial" w:eastAsia="Times New Roman" w:hAnsi="Arial" w:cs="Arial"/>
          <w:i/>
          <w:sz w:val="20"/>
          <w:lang w:eastAsia="fr-FR"/>
        </w:rPr>
        <w:t xml:space="preserve"> </w:t>
      </w:r>
      <w:proofErr w:type="spellStart"/>
      <w:r w:rsidRPr="00D72536">
        <w:rPr>
          <w:rFonts w:ascii="Arial" w:eastAsia="Times New Roman" w:hAnsi="Arial" w:cs="Arial"/>
          <w:i/>
          <w:sz w:val="20"/>
          <w:lang w:eastAsia="fr-FR"/>
        </w:rPr>
        <w:t>Life</w:t>
      </w:r>
      <w:proofErr w:type="spellEnd"/>
      <w:r w:rsidRPr="00D72536">
        <w:rPr>
          <w:rFonts w:ascii="Arial" w:eastAsia="Times New Roman" w:hAnsi="Arial" w:cs="Arial"/>
          <w:i/>
          <w:sz w:val="20"/>
          <w:lang w:eastAsia="fr-FR"/>
        </w:rPr>
        <w:t xml:space="preserve"> </w:t>
      </w:r>
      <w:proofErr w:type="spellStart"/>
      <w:r w:rsidRPr="00D72536">
        <w:rPr>
          <w:rFonts w:ascii="Arial" w:eastAsia="Times New Roman" w:hAnsi="Arial" w:cs="Arial"/>
          <w:i/>
          <w:sz w:val="20"/>
          <w:lang w:eastAsia="fr-FR"/>
        </w:rPr>
        <w:t>Years</w:t>
      </w:r>
      <w:proofErr w:type="spellEnd"/>
      <w:r w:rsidRPr="00D72536">
        <w:rPr>
          <w:rFonts w:ascii="Arial" w:eastAsia="Times New Roman" w:hAnsi="Arial" w:cs="Arial"/>
          <w:sz w:val="20"/>
          <w:lang w:eastAsia="fr-FR"/>
        </w:rPr>
        <w:t xml:space="preserve"> (anos de vida ajustados pela incapacidade).</w:t>
      </w:r>
    </w:p>
    <w:p w14:paraId="52E40EA1" w14:textId="77777777" w:rsidR="00D72536" w:rsidRPr="00D72536" w:rsidRDefault="00D72536" w:rsidP="00D72536">
      <w:pPr>
        <w:spacing w:before="60" w:after="60" w:line="480" w:lineRule="auto"/>
        <w:rPr>
          <w:rFonts w:ascii="Arial" w:eastAsia="Times New Roman" w:hAnsi="Arial" w:cs="Arial"/>
          <w:sz w:val="20"/>
          <w:lang w:eastAsia="fr-FR"/>
        </w:rPr>
      </w:pPr>
      <w:r w:rsidRPr="00D72536">
        <w:rPr>
          <w:rFonts w:ascii="Arial" w:eastAsia="Times New Roman" w:hAnsi="Arial" w:cs="Arial"/>
          <w:sz w:val="20"/>
          <w:lang w:eastAsia="fr-FR"/>
        </w:rPr>
        <w:t>A ponderação diferenciada da incapacidade em função da idade pretende representar a relevância do papel social dos grupos etários. Por exemplo, o peso é máximo nas idades em que as pe</w:t>
      </w:r>
      <w:bookmarkStart w:id="6" w:name="_GoBack"/>
      <w:bookmarkEnd w:id="6"/>
      <w:r w:rsidRPr="00D72536">
        <w:rPr>
          <w:rFonts w:ascii="Arial" w:eastAsia="Times New Roman" w:hAnsi="Arial" w:cs="Arial"/>
          <w:sz w:val="20"/>
          <w:lang w:eastAsia="fr-FR"/>
        </w:rPr>
        <w:t>ssoas tendem a ter menores a seu cargo.</w:t>
      </w:r>
    </w:p>
    <w:p w14:paraId="12121EF1" w14:textId="77777777" w:rsidR="00D72536" w:rsidRPr="00D72536" w:rsidRDefault="00D72536" w:rsidP="00D72536">
      <w:pPr>
        <w:rPr>
          <w:rFonts w:ascii="Calibri" w:eastAsia="Times New Roman" w:hAnsi="Calibri" w:cs="Calibri"/>
          <w:sz w:val="24"/>
          <w:szCs w:val="24"/>
          <w:lang w:eastAsia="fr-FR"/>
        </w:rPr>
      </w:pPr>
      <w:r w:rsidRPr="00D72536">
        <w:rPr>
          <w:rFonts w:ascii="Calibri" w:eastAsia="Times New Roman" w:hAnsi="Calibri" w:cs="Calibri"/>
          <w:sz w:val="24"/>
          <w:szCs w:val="24"/>
          <w:lang w:eastAsia="fr-FR"/>
        </w:rPr>
        <w:br w:type="page"/>
      </w:r>
    </w:p>
    <w:p w14:paraId="5C39BEF8" w14:textId="3B946F40" w:rsidR="00D72536" w:rsidRPr="00D72536" w:rsidRDefault="00D72536" w:rsidP="00D72536">
      <w:pPr>
        <w:tabs>
          <w:tab w:val="left" w:pos="0"/>
          <w:tab w:val="left" w:pos="142"/>
          <w:tab w:val="left" w:pos="284"/>
        </w:tabs>
        <w:spacing w:after="60" w:line="276" w:lineRule="auto"/>
        <w:jc w:val="both"/>
        <w:rPr>
          <w:rFonts w:ascii="Arial" w:eastAsia="Times New Roman" w:hAnsi="Arial" w:cs="Arial"/>
          <w:b/>
          <w:bCs/>
          <w:sz w:val="20"/>
          <w:szCs w:val="20"/>
          <w:lang w:eastAsia="fr-FR"/>
        </w:rPr>
      </w:pPr>
      <w:r w:rsidRPr="00D72536">
        <w:rPr>
          <w:rFonts w:ascii="Arial" w:eastAsia="Times New Roman" w:hAnsi="Arial" w:cs="Arial"/>
          <w:b/>
          <w:bCs/>
          <w:sz w:val="20"/>
          <w:szCs w:val="20"/>
          <w:lang w:eastAsia="fr-FR"/>
        </w:rPr>
        <w:lastRenderedPageBreak/>
        <w:t xml:space="preserve">Tabela </w:t>
      </w:r>
      <w:r w:rsidR="00422D75">
        <w:rPr>
          <w:rFonts w:ascii="Arial" w:eastAsia="Times New Roman" w:hAnsi="Arial" w:cs="Arial"/>
          <w:b/>
          <w:bCs/>
          <w:sz w:val="20"/>
          <w:szCs w:val="20"/>
          <w:lang w:eastAsia="fr-FR"/>
        </w:rPr>
        <w:t>1</w:t>
      </w:r>
      <w:r w:rsidRPr="00D72536">
        <w:rPr>
          <w:rFonts w:ascii="Arial" w:eastAsia="Times New Roman" w:hAnsi="Arial" w:cs="Arial"/>
          <w:b/>
          <w:bCs/>
          <w:sz w:val="20"/>
          <w:szCs w:val="20"/>
          <w:lang w:eastAsia="fr-FR"/>
        </w:rPr>
        <w:t>, material suplementar. Custos de transporte (considerando dois trajetos, ou seja, a ida e volta).</w:t>
      </w:r>
    </w:p>
    <w:p w14:paraId="2E600B82" w14:textId="77777777" w:rsidR="00D72536" w:rsidRPr="00D72536" w:rsidRDefault="00D72536" w:rsidP="00D72536">
      <w:pPr>
        <w:spacing w:before="60" w:after="60" w:line="360" w:lineRule="auto"/>
        <w:ind w:firstLine="709"/>
        <w:jc w:val="both"/>
        <w:rPr>
          <w:rFonts w:ascii="Arial" w:eastAsia="Times New Roman" w:hAnsi="Arial" w:cs="Arial"/>
          <w:sz w:val="20"/>
          <w:szCs w:val="20"/>
          <w:lang w:eastAsia="fr-FR"/>
        </w:rPr>
      </w:pPr>
    </w:p>
    <w:tbl>
      <w:tblPr>
        <w:tblStyle w:val="TableSimple111"/>
        <w:tblW w:w="3475" w:type="pct"/>
        <w:tblLook w:val="04A0" w:firstRow="1" w:lastRow="0" w:firstColumn="1" w:lastColumn="0" w:noHBand="0" w:noVBand="1"/>
      </w:tblPr>
      <w:tblGrid>
        <w:gridCol w:w="4092"/>
        <w:gridCol w:w="1818"/>
      </w:tblGrid>
      <w:tr w:rsidR="00D72536" w:rsidRPr="00D72536" w14:paraId="6F0FB986" w14:textId="77777777" w:rsidTr="00115346">
        <w:trPr>
          <w:cnfStyle w:val="100000000000" w:firstRow="1" w:lastRow="0" w:firstColumn="0" w:lastColumn="0" w:oddVBand="0" w:evenVBand="0" w:oddHBand="0" w:evenHBand="0" w:firstRowFirstColumn="0" w:firstRowLastColumn="0" w:lastRowFirstColumn="0" w:lastRowLastColumn="0"/>
          <w:trHeight w:val="300"/>
        </w:trPr>
        <w:tc>
          <w:tcPr>
            <w:tcW w:w="3462" w:type="pct"/>
            <w:noWrap/>
          </w:tcPr>
          <w:p w14:paraId="35A644C8" w14:textId="77777777" w:rsidR="00D72536" w:rsidRPr="00D72536" w:rsidRDefault="00D72536" w:rsidP="00D72536">
            <w:pPr>
              <w:widowControl w:val="0"/>
              <w:autoSpaceDE w:val="0"/>
              <w:autoSpaceDN w:val="0"/>
              <w:adjustRightInd w:val="0"/>
              <w:spacing w:after="0"/>
              <w:rPr>
                <w:rFonts w:ascii="Arial" w:hAnsi="Arial" w:cs="Arial"/>
                <w:b/>
              </w:rPr>
            </w:pPr>
            <w:r w:rsidRPr="00D72536">
              <w:rPr>
                <w:rFonts w:ascii="Arial" w:hAnsi="Arial" w:cs="Arial"/>
                <w:b/>
              </w:rPr>
              <w:t>Deslocações</w:t>
            </w:r>
          </w:p>
        </w:tc>
        <w:tc>
          <w:tcPr>
            <w:tcW w:w="1538" w:type="pct"/>
          </w:tcPr>
          <w:p w14:paraId="46A97C3B" w14:textId="77777777" w:rsidR="00D72536" w:rsidRPr="00D72536" w:rsidRDefault="00D72536" w:rsidP="00D72536">
            <w:pPr>
              <w:widowControl w:val="0"/>
              <w:autoSpaceDE w:val="0"/>
              <w:autoSpaceDN w:val="0"/>
              <w:adjustRightInd w:val="0"/>
              <w:spacing w:after="0"/>
              <w:jc w:val="center"/>
              <w:rPr>
                <w:rFonts w:ascii="Arial" w:hAnsi="Arial" w:cs="Arial"/>
                <w:b/>
              </w:rPr>
            </w:pPr>
            <w:r w:rsidRPr="00D72536">
              <w:rPr>
                <w:rFonts w:ascii="Arial" w:hAnsi="Arial" w:cs="Arial"/>
                <w:b/>
              </w:rPr>
              <w:t>Custo Unitário (€)</w:t>
            </w:r>
          </w:p>
        </w:tc>
      </w:tr>
      <w:tr w:rsidR="00D72536" w:rsidRPr="00D72536" w14:paraId="7124F3D4" w14:textId="77777777" w:rsidTr="00115346">
        <w:trPr>
          <w:trHeight w:val="300"/>
        </w:trPr>
        <w:tc>
          <w:tcPr>
            <w:tcW w:w="3462" w:type="pct"/>
            <w:noWrap/>
          </w:tcPr>
          <w:p w14:paraId="494D3E91" w14:textId="77777777" w:rsidR="00D72536" w:rsidRPr="00D72536" w:rsidRDefault="00D72536" w:rsidP="00D72536">
            <w:pPr>
              <w:widowControl w:val="0"/>
              <w:autoSpaceDE w:val="0"/>
              <w:autoSpaceDN w:val="0"/>
              <w:adjustRightInd w:val="0"/>
              <w:spacing w:after="0"/>
              <w:rPr>
                <w:rFonts w:ascii="Arial" w:hAnsi="Arial" w:cs="Arial"/>
                <w:color w:val="000000"/>
              </w:rPr>
            </w:pPr>
            <w:r w:rsidRPr="00D72536">
              <w:rPr>
                <w:rFonts w:ascii="Arial" w:hAnsi="Arial" w:cs="Arial"/>
                <w:color w:val="000000"/>
              </w:rPr>
              <w:t xml:space="preserve">Transporte não urgente* </w:t>
            </w:r>
          </w:p>
        </w:tc>
        <w:tc>
          <w:tcPr>
            <w:tcW w:w="1538" w:type="pct"/>
            <w:noWrap/>
          </w:tcPr>
          <w:p w14:paraId="3366284D" w14:textId="77777777" w:rsidR="00D72536" w:rsidRPr="00D72536" w:rsidRDefault="00D72536" w:rsidP="00D72536">
            <w:pPr>
              <w:spacing w:after="0"/>
              <w:jc w:val="center"/>
              <w:rPr>
                <w:rFonts w:ascii="Arial" w:hAnsi="Arial" w:cs="Arial"/>
                <w:color w:val="000000"/>
              </w:rPr>
            </w:pPr>
            <w:r w:rsidRPr="00D72536">
              <w:rPr>
                <w:rFonts w:ascii="Arial" w:hAnsi="Arial" w:cs="Arial"/>
                <w:color w:val="000000"/>
              </w:rPr>
              <w:t>4,10***</w:t>
            </w:r>
          </w:p>
        </w:tc>
      </w:tr>
      <w:tr w:rsidR="00D72536" w:rsidRPr="00D72536" w14:paraId="6178BC3A" w14:textId="77777777" w:rsidTr="00115346">
        <w:trPr>
          <w:trHeight w:val="300"/>
        </w:trPr>
        <w:tc>
          <w:tcPr>
            <w:tcW w:w="3462" w:type="pct"/>
            <w:noWrap/>
          </w:tcPr>
          <w:p w14:paraId="31AAEE66" w14:textId="77777777" w:rsidR="00D72536" w:rsidRPr="00D72536" w:rsidRDefault="00D72536" w:rsidP="00D72536">
            <w:pPr>
              <w:widowControl w:val="0"/>
              <w:autoSpaceDE w:val="0"/>
              <w:autoSpaceDN w:val="0"/>
              <w:adjustRightInd w:val="0"/>
              <w:spacing w:after="0"/>
              <w:rPr>
                <w:rFonts w:ascii="Arial" w:hAnsi="Arial" w:cs="Arial"/>
                <w:color w:val="000000"/>
              </w:rPr>
            </w:pPr>
            <w:r w:rsidRPr="00D72536">
              <w:rPr>
                <w:rFonts w:ascii="Arial" w:hAnsi="Arial" w:cs="Arial"/>
              </w:rPr>
              <w:t xml:space="preserve">Transporte urgente** </w:t>
            </w:r>
          </w:p>
        </w:tc>
        <w:tc>
          <w:tcPr>
            <w:tcW w:w="1538" w:type="pct"/>
            <w:noWrap/>
          </w:tcPr>
          <w:p w14:paraId="05888591" w14:textId="77777777" w:rsidR="00D72536" w:rsidRPr="00D72536" w:rsidRDefault="00D72536" w:rsidP="00D72536">
            <w:pPr>
              <w:spacing w:after="0"/>
              <w:jc w:val="center"/>
              <w:rPr>
                <w:rFonts w:ascii="Arial" w:hAnsi="Arial" w:cs="Arial"/>
              </w:rPr>
            </w:pPr>
            <w:r w:rsidRPr="00D72536">
              <w:rPr>
                <w:rFonts w:ascii="Arial" w:hAnsi="Arial" w:cs="Arial"/>
              </w:rPr>
              <w:t>44,94****</w:t>
            </w:r>
          </w:p>
        </w:tc>
      </w:tr>
    </w:tbl>
    <w:p w14:paraId="6FD9F1E2" w14:textId="77777777" w:rsidR="00D72536" w:rsidRPr="00D72536" w:rsidRDefault="00D72536" w:rsidP="00D72536">
      <w:pPr>
        <w:spacing w:before="60" w:after="60" w:line="360" w:lineRule="auto"/>
        <w:ind w:firstLine="709"/>
        <w:jc w:val="both"/>
        <w:rPr>
          <w:rFonts w:ascii="Arial" w:eastAsia="Times New Roman" w:hAnsi="Arial" w:cs="Arial"/>
          <w:sz w:val="20"/>
          <w:szCs w:val="20"/>
          <w:lang w:eastAsia="fr-FR"/>
        </w:rPr>
      </w:pPr>
    </w:p>
    <w:p w14:paraId="17214BC3" w14:textId="77777777" w:rsidR="00D72536" w:rsidRPr="00D72536" w:rsidRDefault="00D72536" w:rsidP="00D72536">
      <w:pPr>
        <w:spacing w:after="0" w:line="360" w:lineRule="auto"/>
        <w:ind w:firstLine="709"/>
        <w:jc w:val="both"/>
        <w:rPr>
          <w:rFonts w:ascii="Arial" w:eastAsia="Times New Roman" w:hAnsi="Arial" w:cs="Arial"/>
          <w:sz w:val="20"/>
          <w:szCs w:val="20"/>
        </w:rPr>
      </w:pPr>
    </w:p>
    <w:p w14:paraId="7364379A" w14:textId="77777777" w:rsidR="00D72536" w:rsidRPr="00D72536" w:rsidRDefault="00D72536" w:rsidP="00D72536">
      <w:pPr>
        <w:tabs>
          <w:tab w:val="left" w:pos="142"/>
        </w:tabs>
        <w:spacing w:after="0" w:line="480" w:lineRule="auto"/>
        <w:jc w:val="both"/>
        <w:rPr>
          <w:rFonts w:ascii="Arial" w:eastAsia="Times New Roman" w:hAnsi="Arial" w:cs="Arial"/>
          <w:sz w:val="20"/>
          <w:szCs w:val="20"/>
        </w:rPr>
      </w:pPr>
      <w:r w:rsidRPr="00D72536">
        <w:rPr>
          <w:rFonts w:ascii="Arial" w:eastAsia="Times New Roman" w:hAnsi="Arial" w:cs="Arial"/>
          <w:sz w:val="20"/>
          <w:szCs w:val="20"/>
        </w:rPr>
        <w:t>* O número de deslocações estimadas, no caso do transporte não urgente, foi considerado o dobro do número de consultas médicas – independentemente do local.</w:t>
      </w:r>
    </w:p>
    <w:p w14:paraId="66B5FEE3" w14:textId="77777777" w:rsidR="00D72536" w:rsidRPr="00D72536" w:rsidRDefault="00D72536" w:rsidP="00D72536">
      <w:pPr>
        <w:tabs>
          <w:tab w:val="left" w:pos="142"/>
        </w:tabs>
        <w:spacing w:after="0" w:line="480" w:lineRule="auto"/>
        <w:jc w:val="both"/>
        <w:rPr>
          <w:rFonts w:ascii="Arial" w:eastAsia="Times New Roman" w:hAnsi="Arial" w:cs="Arial"/>
          <w:sz w:val="20"/>
          <w:szCs w:val="20"/>
        </w:rPr>
      </w:pPr>
      <w:r w:rsidRPr="00D72536">
        <w:rPr>
          <w:rFonts w:ascii="Arial" w:eastAsia="Times New Roman" w:hAnsi="Arial" w:cs="Arial"/>
          <w:sz w:val="20"/>
          <w:szCs w:val="20"/>
        </w:rPr>
        <w:t xml:space="preserve">** O número de deslocações estimadas, no caso do transporte urgente, foi assumido o dobro do número de episódios de urgência sem internamento. </w:t>
      </w:r>
    </w:p>
    <w:p w14:paraId="6F0032B0" w14:textId="77777777" w:rsidR="00D72536" w:rsidRPr="00D72536" w:rsidRDefault="00D72536" w:rsidP="00D72536">
      <w:pPr>
        <w:spacing w:after="0" w:line="480" w:lineRule="auto"/>
        <w:jc w:val="both"/>
        <w:rPr>
          <w:rFonts w:ascii="Arial" w:eastAsia="Times New Roman" w:hAnsi="Arial" w:cs="Arial"/>
          <w:sz w:val="20"/>
          <w:szCs w:val="20"/>
        </w:rPr>
      </w:pPr>
      <w:r w:rsidRPr="00D72536">
        <w:rPr>
          <w:rFonts w:ascii="Arial" w:eastAsia="Times New Roman" w:hAnsi="Arial" w:cs="Arial"/>
          <w:sz w:val="20"/>
          <w:szCs w:val="20"/>
        </w:rPr>
        <w:t xml:space="preserve">*** Para o custo unitário do transporte não-urgente considerou-se a média ponderada do custo unitário associado aos diferentes meios de transporte (transporte público, transporte próprio e deslocação a pé) utilizados na deslocação a uma unidade de cuidados de saúde primários. Esta foi considerada uma abordagem conservadora, tendo em conta que as unidades de cuidados de saúde secundários estariam provavelmente localizadas a uma distância superior do domicílio do utente, e portanto, estariam associadas a custos de transporte superiores. A distribuição dos doentes pelos diferentes meios de transporte foi obtida a partir de um inquérito efetuado a 7 médicos de Cuidados de Saúde Primários servindo populações urbanas ou áreas mistas. O custo unitário do transporte público foi obtido a partir da média do preço do bilhete de autocarro/metro em Lisboa, Coimbra e Porto (1,3€). O custo por Km em transporte próprio baseou-se no preço por Km (0,36€/Km) definido na Lei n.º 66-B/2012, de 31 de dezembro de 2012, que estabelece as normas relativas ao abono de ajudas de custo e de transporte pelas deslocações em serviço público. De acordo com o estudo do acesso aos cuidados de saúde primários do SNS da Entidade Reguladora da Saúde (ERS), a quase totalidade do território continental está a menos de 30 minutos de um centro de saúde ou extensão. A população residente nas áreas não cobertas não chega a representar 0,1% da população de Portugal continental (ERS, 2009). Assumiu-se que a distância média correspondente a este intervalo de tempo era de 10 Km, calculando-se o preço do transporte próprio em 3,60€. </w:t>
      </w:r>
    </w:p>
    <w:p w14:paraId="75A57D2D" w14:textId="77777777" w:rsidR="00D72536" w:rsidRPr="00D72536" w:rsidRDefault="00D72536" w:rsidP="00D72536">
      <w:pPr>
        <w:spacing w:after="0" w:line="480" w:lineRule="auto"/>
        <w:jc w:val="both"/>
        <w:rPr>
          <w:rFonts w:ascii="Arial" w:eastAsia="Times New Roman" w:hAnsi="Arial" w:cs="Arial"/>
          <w:sz w:val="20"/>
          <w:szCs w:val="20"/>
        </w:rPr>
      </w:pPr>
      <w:r w:rsidRPr="00D72536">
        <w:rPr>
          <w:rFonts w:ascii="Arial" w:eastAsia="Times New Roman" w:hAnsi="Arial" w:cs="Arial"/>
          <w:sz w:val="20"/>
          <w:szCs w:val="20"/>
        </w:rPr>
        <w:t xml:space="preserve">**** Para a estimativa do custo do transporte urgente (no contexto de um episódio de urgência sem internamento) considerou-se a média ponderada do custo unitário associado aos diferentes </w:t>
      </w:r>
      <w:r w:rsidRPr="00D72536">
        <w:rPr>
          <w:rFonts w:ascii="Arial" w:eastAsia="Times New Roman" w:hAnsi="Arial" w:cs="Arial"/>
          <w:sz w:val="20"/>
          <w:szCs w:val="20"/>
        </w:rPr>
        <w:lastRenderedPageBreak/>
        <w:t>meios de transporte em causa (transporte próprio ou ambulância). A informação relativa à percentagem de doentes que se desloca por ambulância foi estimada através da consulta de peritos em 60%. O custo por Km em transporte próprio baseou-se nos pressupostos referidos para a estimativa do custo unitário do transporte não urgente. O custo unitário do transporte em ambulância baseou-se na Contabilidade Analítica do INEM em 2012 (35,05€).</w:t>
      </w:r>
    </w:p>
    <w:p w14:paraId="68C00F45" w14:textId="77777777" w:rsidR="00D72536" w:rsidRPr="00D72536" w:rsidRDefault="00D72536" w:rsidP="00D72536">
      <w:pPr>
        <w:autoSpaceDE w:val="0"/>
        <w:autoSpaceDN w:val="0"/>
        <w:adjustRightInd w:val="0"/>
        <w:spacing w:after="0" w:line="360" w:lineRule="auto"/>
        <w:ind w:firstLine="700"/>
        <w:jc w:val="both"/>
        <w:rPr>
          <w:rFonts w:ascii="Calibri" w:hAnsi="Calibri" w:cs="Calibri"/>
          <w:color w:val="000000"/>
          <w:sz w:val="24"/>
          <w:szCs w:val="23"/>
        </w:rPr>
      </w:pPr>
    </w:p>
    <w:p w14:paraId="2B16C7DF" w14:textId="77777777" w:rsidR="00D72536" w:rsidRPr="00D72536" w:rsidRDefault="00D72536" w:rsidP="00D72536">
      <w:pPr>
        <w:spacing w:before="60" w:after="60" w:line="360" w:lineRule="auto"/>
        <w:ind w:firstLine="709"/>
        <w:jc w:val="both"/>
        <w:rPr>
          <w:rFonts w:ascii="Calibri" w:eastAsia="Times New Roman" w:hAnsi="Calibri" w:cs="Calibri"/>
          <w:sz w:val="24"/>
          <w:szCs w:val="24"/>
        </w:rPr>
      </w:pPr>
    </w:p>
    <w:p w14:paraId="23FE8EE1" w14:textId="77777777" w:rsidR="00D72536" w:rsidRPr="00D72536" w:rsidRDefault="00D72536" w:rsidP="00D72536">
      <w:pPr>
        <w:spacing w:before="60" w:after="60" w:line="360" w:lineRule="auto"/>
        <w:ind w:firstLine="709"/>
        <w:jc w:val="both"/>
        <w:rPr>
          <w:rFonts w:ascii="Calibri" w:eastAsia="Times New Roman" w:hAnsi="Calibri" w:cs="Calibri"/>
          <w:sz w:val="24"/>
          <w:szCs w:val="24"/>
        </w:rPr>
      </w:pPr>
      <w:r w:rsidRPr="00D72536">
        <w:rPr>
          <w:rFonts w:ascii="Calibri" w:eastAsia="Times New Roman" w:hAnsi="Calibri" w:cs="Calibri"/>
          <w:sz w:val="24"/>
          <w:szCs w:val="24"/>
        </w:rPr>
        <w:br w:type="page"/>
      </w:r>
    </w:p>
    <w:p w14:paraId="77BC118C" w14:textId="487CD0FA" w:rsidR="00D72536" w:rsidRPr="00D72536" w:rsidRDefault="00D72536" w:rsidP="00D72536">
      <w:pPr>
        <w:tabs>
          <w:tab w:val="left" w:pos="0"/>
          <w:tab w:val="left" w:pos="142"/>
          <w:tab w:val="left" w:pos="284"/>
        </w:tabs>
        <w:spacing w:after="60" w:line="276" w:lineRule="auto"/>
        <w:rPr>
          <w:rFonts w:ascii="Arial" w:eastAsia="Times New Roman" w:hAnsi="Arial" w:cs="Arial"/>
          <w:b/>
          <w:bCs/>
          <w:sz w:val="20"/>
          <w:szCs w:val="20"/>
          <w:lang w:eastAsia="fr-FR"/>
        </w:rPr>
      </w:pPr>
      <w:r w:rsidRPr="00D72536">
        <w:rPr>
          <w:rFonts w:ascii="Arial" w:eastAsia="Times New Roman" w:hAnsi="Arial" w:cs="Arial"/>
          <w:b/>
          <w:bCs/>
          <w:sz w:val="20"/>
          <w:szCs w:val="20"/>
          <w:lang w:eastAsia="fr-FR"/>
        </w:rPr>
        <w:lastRenderedPageBreak/>
        <w:t xml:space="preserve">Tabela </w:t>
      </w:r>
      <w:r w:rsidR="00422D75">
        <w:rPr>
          <w:rFonts w:ascii="Arial" w:eastAsia="Times New Roman" w:hAnsi="Arial" w:cs="Arial"/>
          <w:b/>
          <w:bCs/>
          <w:sz w:val="20"/>
          <w:szCs w:val="20"/>
          <w:lang w:eastAsia="fr-FR"/>
        </w:rPr>
        <w:t>2</w:t>
      </w:r>
      <w:r w:rsidRPr="00D72536">
        <w:rPr>
          <w:rFonts w:ascii="Arial" w:eastAsia="Times New Roman" w:hAnsi="Arial" w:cs="Arial"/>
          <w:b/>
          <w:bCs/>
          <w:sz w:val="20"/>
          <w:szCs w:val="20"/>
          <w:lang w:eastAsia="fr-FR"/>
        </w:rPr>
        <w:t>, material suplementar. Mortalidade na esquizofrenia, e fração atribuível à esquizofrenia, em Portugal Continental, por grupos etários e sexo, em 2015.</w:t>
      </w:r>
    </w:p>
    <w:p w14:paraId="04FA1077" w14:textId="77777777" w:rsidR="00D72536" w:rsidRPr="00D72536" w:rsidRDefault="00D72536" w:rsidP="00D72536">
      <w:pPr>
        <w:keepNext/>
        <w:tabs>
          <w:tab w:val="left" w:pos="0"/>
          <w:tab w:val="left" w:pos="142"/>
          <w:tab w:val="left" w:pos="284"/>
        </w:tabs>
        <w:spacing w:after="60" w:line="276" w:lineRule="auto"/>
        <w:jc w:val="center"/>
        <w:rPr>
          <w:rFonts w:ascii="Arial" w:eastAsia="Times New Roman" w:hAnsi="Arial" w:cs="Arial"/>
          <w:b/>
          <w:bCs/>
          <w:sz w:val="20"/>
          <w:szCs w:val="20"/>
          <w:lang w:eastAsia="fr-FR"/>
        </w:rPr>
      </w:pPr>
    </w:p>
    <w:tbl>
      <w:tblPr>
        <w:tblStyle w:val="Tabelasimples1112"/>
        <w:tblW w:w="5000" w:type="pct"/>
        <w:tblLayout w:type="fixed"/>
        <w:tblLook w:val="04A0" w:firstRow="1" w:lastRow="0" w:firstColumn="1" w:lastColumn="0" w:noHBand="0" w:noVBand="1"/>
      </w:tblPr>
      <w:tblGrid>
        <w:gridCol w:w="1212"/>
        <w:gridCol w:w="1824"/>
        <w:gridCol w:w="1823"/>
        <w:gridCol w:w="1823"/>
        <w:gridCol w:w="1822"/>
      </w:tblGrid>
      <w:tr w:rsidR="00D72536" w:rsidRPr="00D72536" w14:paraId="38C4729A" w14:textId="77777777" w:rsidTr="00115346">
        <w:trPr>
          <w:cnfStyle w:val="100000000000" w:firstRow="1" w:lastRow="0" w:firstColumn="0" w:lastColumn="0" w:oddVBand="0" w:evenVBand="0" w:oddHBand="0" w:evenHBand="0" w:firstRowFirstColumn="0" w:firstRowLastColumn="0" w:lastRowFirstColumn="0" w:lastRowLastColumn="0"/>
          <w:trHeight w:val="300"/>
        </w:trPr>
        <w:tc>
          <w:tcPr>
            <w:tcW w:w="712" w:type="pct"/>
            <w:vMerge w:val="restart"/>
            <w:tcBorders>
              <w:top w:val="single" w:sz="12" w:space="0" w:color="008000"/>
            </w:tcBorders>
            <w:noWrap/>
            <w:vAlign w:val="center"/>
            <w:hideMark/>
          </w:tcPr>
          <w:p w14:paraId="0856483A"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Grupo Etário (anos)</w:t>
            </w:r>
          </w:p>
        </w:tc>
        <w:tc>
          <w:tcPr>
            <w:tcW w:w="2144" w:type="pct"/>
            <w:gridSpan w:val="2"/>
            <w:tcBorders>
              <w:top w:val="single" w:sz="12" w:space="0" w:color="008000"/>
              <w:bottom w:val="nil"/>
            </w:tcBorders>
            <w:noWrap/>
            <w:vAlign w:val="center"/>
            <w:hideMark/>
          </w:tcPr>
          <w:p w14:paraId="711D85E0"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Homens</w:t>
            </w:r>
          </w:p>
        </w:tc>
        <w:tc>
          <w:tcPr>
            <w:tcW w:w="2143" w:type="pct"/>
            <w:gridSpan w:val="2"/>
            <w:tcBorders>
              <w:top w:val="single" w:sz="12" w:space="0" w:color="008000"/>
              <w:bottom w:val="nil"/>
            </w:tcBorders>
            <w:noWrap/>
            <w:vAlign w:val="center"/>
            <w:hideMark/>
          </w:tcPr>
          <w:p w14:paraId="14A5D40B"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Mulheres</w:t>
            </w:r>
          </w:p>
        </w:tc>
      </w:tr>
      <w:tr w:rsidR="00D72536" w:rsidRPr="00D72536" w14:paraId="3037F867" w14:textId="77777777" w:rsidTr="00115346">
        <w:trPr>
          <w:trHeight w:val="300"/>
        </w:trPr>
        <w:tc>
          <w:tcPr>
            <w:tcW w:w="712" w:type="pct"/>
            <w:vMerge/>
            <w:tcBorders>
              <w:top w:val="single" w:sz="6" w:space="0" w:color="008000"/>
              <w:bottom w:val="single" w:sz="6" w:space="0" w:color="008000"/>
            </w:tcBorders>
            <w:noWrap/>
            <w:vAlign w:val="center"/>
          </w:tcPr>
          <w:p w14:paraId="636D5828" w14:textId="77777777" w:rsidR="00D72536" w:rsidRPr="00D72536" w:rsidRDefault="00D72536" w:rsidP="00D72536">
            <w:pPr>
              <w:spacing w:after="0" w:line="240" w:lineRule="auto"/>
              <w:jc w:val="center"/>
              <w:rPr>
                <w:rFonts w:ascii="Arial" w:hAnsi="Arial" w:cs="Arial"/>
                <w:b/>
              </w:rPr>
            </w:pPr>
          </w:p>
        </w:tc>
        <w:tc>
          <w:tcPr>
            <w:tcW w:w="1072" w:type="pct"/>
            <w:tcBorders>
              <w:top w:val="nil"/>
              <w:bottom w:val="single" w:sz="6" w:space="0" w:color="008000"/>
            </w:tcBorders>
            <w:noWrap/>
            <w:vAlign w:val="center"/>
          </w:tcPr>
          <w:p w14:paraId="74DBEB0B"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Nº óbitos por todas as causas</w:t>
            </w:r>
          </w:p>
        </w:tc>
        <w:tc>
          <w:tcPr>
            <w:tcW w:w="1072" w:type="pct"/>
            <w:tcBorders>
              <w:top w:val="nil"/>
              <w:bottom w:val="single" w:sz="6" w:space="0" w:color="008000"/>
            </w:tcBorders>
            <w:vAlign w:val="center"/>
          </w:tcPr>
          <w:p w14:paraId="33D4F025"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Nº óbitos atribuível à esquizofrenia (60%</w:t>
            </w:r>
            <w:r w:rsidRPr="00D72536">
              <w:rPr>
                <w:rFonts w:ascii="Arial" w:hAnsi="Arial" w:cs="Arial"/>
                <w:b/>
                <w:vertAlign w:val="superscript"/>
              </w:rPr>
              <w:t>a</w:t>
            </w:r>
            <w:r w:rsidRPr="00D72536">
              <w:rPr>
                <w:rFonts w:ascii="Arial" w:hAnsi="Arial" w:cs="Arial"/>
                <w:b/>
              </w:rPr>
              <w:t>)</w:t>
            </w:r>
          </w:p>
        </w:tc>
        <w:tc>
          <w:tcPr>
            <w:tcW w:w="1072" w:type="pct"/>
            <w:tcBorders>
              <w:top w:val="nil"/>
              <w:bottom w:val="single" w:sz="6" w:space="0" w:color="008000"/>
            </w:tcBorders>
            <w:noWrap/>
            <w:vAlign w:val="center"/>
          </w:tcPr>
          <w:p w14:paraId="0B0D8BB1"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Nº óbitos por todas as causas</w:t>
            </w:r>
          </w:p>
        </w:tc>
        <w:tc>
          <w:tcPr>
            <w:tcW w:w="1071" w:type="pct"/>
            <w:tcBorders>
              <w:top w:val="nil"/>
              <w:bottom w:val="single" w:sz="6" w:space="0" w:color="008000"/>
            </w:tcBorders>
            <w:vAlign w:val="center"/>
          </w:tcPr>
          <w:p w14:paraId="21B4CD62" w14:textId="77777777" w:rsidR="00D72536" w:rsidRPr="00D72536" w:rsidRDefault="00D72536" w:rsidP="00D72536">
            <w:pPr>
              <w:spacing w:after="0" w:line="240" w:lineRule="auto"/>
              <w:jc w:val="center"/>
              <w:rPr>
                <w:rFonts w:ascii="Arial" w:hAnsi="Arial" w:cs="Arial"/>
                <w:b/>
              </w:rPr>
            </w:pPr>
            <w:r w:rsidRPr="00D72536">
              <w:rPr>
                <w:rFonts w:ascii="Arial" w:hAnsi="Arial" w:cs="Arial"/>
                <w:b/>
              </w:rPr>
              <w:t>Nº óbitos atribuível à esquizofrenia (60%</w:t>
            </w:r>
            <w:r w:rsidRPr="00D72536">
              <w:rPr>
                <w:rFonts w:ascii="Arial" w:hAnsi="Arial" w:cs="Arial"/>
                <w:b/>
                <w:vertAlign w:val="superscript"/>
              </w:rPr>
              <w:t>a</w:t>
            </w:r>
            <w:r w:rsidRPr="00D72536">
              <w:rPr>
                <w:rFonts w:ascii="Arial" w:hAnsi="Arial" w:cs="Arial"/>
                <w:b/>
              </w:rPr>
              <w:t>)</w:t>
            </w:r>
          </w:p>
        </w:tc>
      </w:tr>
      <w:tr w:rsidR="00D72536" w:rsidRPr="00D72536" w14:paraId="4A6BD0C9" w14:textId="77777777" w:rsidTr="00115346">
        <w:trPr>
          <w:trHeight w:val="300"/>
        </w:trPr>
        <w:tc>
          <w:tcPr>
            <w:tcW w:w="712" w:type="pct"/>
            <w:tcBorders>
              <w:top w:val="single" w:sz="6" w:space="0" w:color="008000"/>
            </w:tcBorders>
            <w:vAlign w:val="center"/>
            <w:hideMark/>
          </w:tcPr>
          <w:p w14:paraId="6E414C0D"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&lt; 1</w:t>
            </w:r>
          </w:p>
        </w:tc>
        <w:tc>
          <w:tcPr>
            <w:tcW w:w="1072" w:type="pct"/>
            <w:tcBorders>
              <w:top w:val="single" w:sz="6" w:space="0" w:color="008000"/>
            </w:tcBorders>
            <w:noWrap/>
            <w:vAlign w:val="bottom"/>
            <w:hideMark/>
          </w:tcPr>
          <w:p w14:paraId="5A0F773F"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Borders>
              <w:top w:val="single" w:sz="6" w:space="0" w:color="008000"/>
            </w:tcBorders>
          </w:tcPr>
          <w:p w14:paraId="1E5E94B7"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Borders>
              <w:top w:val="single" w:sz="6" w:space="0" w:color="008000"/>
            </w:tcBorders>
            <w:noWrap/>
            <w:hideMark/>
          </w:tcPr>
          <w:p w14:paraId="2D7BE861"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Borders>
              <w:top w:val="single" w:sz="6" w:space="0" w:color="008000"/>
            </w:tcBorders>
          </w:tcPr>
          <w:p w14:paraId="058E980D"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19E1CF95" w14:textId="77777777" w:rsidTr="00115346">
        <w:trPr>
          <w:trHeight w:val="300"/>
        </w:trPr>
        <w:tc>
          <w:tcPr>
            <w:tcW w:w="712" w:type="pct"/>
            <w:vAlign w:val="center"/>
            <w:hideMark/>
          </w:tcPr>
          <w:p w14:paraId="2535935A"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1 a 4</w:t>
            </w:r>
          </w:p>
        </w:tc>
        <w:tc>
          <w:tcPr>
            <w:tcW w:w="1072" w:type="pct"/>
            <w:noWrap/>
            <w:vAlign w:val="bottom"/>
            <w:hideMark/>
          </w:tcPr>
          <w:p w14:paraId="13629F7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498D564D"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4E34A449"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548F55F7"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1AF5A791" w14:textId="77777777" w:rsidTr="00115346">
        <w:trPr>
          <w:trHeight w:val="300"/>
        </w:trPr>
        <w:tc>
          <w:tcPr>
            <w:tcW w:w="712" w:type="pct"/>
            <w:vAlign w:val="center"/>
            <w:hideMark/>
          </w:tcPr>
          <w:p w14:paraId="06E53B5C"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5 a 9</w:t>
            </w:r>
          </w:p>
        </w:tc>
        <w:tc>
          <w:tcPr>
            <w:tcW w:w="1072" w:type="pct"/>
            <w:noWrap/>
            <w:vAlign w:val="bottom"/>
            <w:hideMark/>
          </w:tcPr>
          <w:p w14:paraId="2322DCB0"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0B79227C"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412C9AA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6735EDE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50B9C9ED" w14:textId="77777777" w:rsidTr="00115346">
        <w:trPr>
          <w:trHeight w:val="300"/>
        </w:trPr>
        <w:tc>
          <w:tcPr>
            <w:tcW w:w="712" w:type="pct"/>
            <w:vAlign w:val="center"/>
            <w:hideMark/>
          </w:tcPr>
          <w:p w14:paraId="5D2A32ED"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10 a 14</w:t>
            </w:r>
          </w:p>
        </w:tc>
        <w:tc>
          <w:tcPr>
            <w:tcW w:w="1072" w:type="pct"/>
            <w:noWrap/>
            <w:vAlign w:val="bottom"/>
            <w:hideMark/>
          </w:tcPr>
          <w:p w14:paraId="36F0925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462B61E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0956F71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6852EF7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04262C91" w14:textId="77777777" w:rsidTr="00115346">
        <w:trPr>
          <w:trHeight w:val="300"/>
        </w:trPr>
        <w:tc>
          <w:tcPr>
            <w:tcW w:w="712" w:type="pct"/>
            <w:vAlign w:val="center"/>
            <w:hideMark/>
          </w:tcPr>
          <w:p w14:paraId="02846231"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15 a 19</w:t>
            </w:r>
          </w:p>
        </w:tc>
        <w:tc>
          <w:tcPr>
            <w:tcW w:w="1072" w:type="pct"/>
            <w:noWrap/>
            <w:vAlign w:val="bottom"/>
            <w:hideMark/>
          </w:tcPr>
          <w:p w14:paraId="2BB7A427"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3F21486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7AE39F4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0961B33F"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6B65D6CC" w14:textId="77777777" w:rsidTr="00115346">
        <w:trPr>
          <w:trHeight w:val="300"/>
        </w:trPr>
        <w:tc>
          <w:tcPr>
            <w:tcW w:w="712" w:type="pct"/>
            <w:vAlign w:val="center"/>
            <w:hideMark/>
          </w:tcPr>
          <w:p w14:paraId="47885E63"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20 a 24</w:t>
            </w:r>
          </w:p>
        </w:tc>
        <w:tc>
          <w:tcPr>
            <w:tcW w:w="1072" w:type="pct"/>
            <w:noWrap/>
            <w:vAlign w:val="bottom"/>
            <w:hideMark/>
          </w:tcPr>
          <w:p w14:paraId="5599E02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c>
          <w:tcPr>
            <w:tcW w:w="1072" w:type="pct"/>
          </w:tcPr>
          <w:p w14:paraId="0B38BFA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c>
          <w:tcPr>
            <w:tcW w:w="1072" w:type="pct"/>
            <w:noWrap/>
            <w:hideMark/>
          </w:tcPr>
          <w:p w14:paraId="1B1D968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5924949B"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54AC812D" w14:textId="77777777" w:rsidTr="00115346">
        <w:trPr>
          <w:trHeight w:val="300"/>
        </w:trPr>
        <w:tc>
          <w:tcPr>
            <w:tcW w:w="712" w:type="pct"/>
            <w:vAlign w:val="center"/>
            <w:hideMark/>
          </w:tcPr>
          <w:p w14:paraId="3CEE3DCE"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25 a 29</w:t>
            </w:r>
          </w:p>
        </w:tc>
        <w:tc>
          <w:tcPr>
            <w:tcW w:w="1072" w:type="pct"/>
            <w:noWrap/>
            <w:vAlign w:val="bottom"/>
            <w:hideMark/>
          </w:tcPr>
          <w:p w14:paraId="1AC5DEA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w:t>
            </w:r>
          </w:p>
        </w:tc>
        <w:tc>
          <w:tcPr>
            <w:tcW w:w="1072" w:type="pct"/>
          </w:tcPr>
          <w:p w14:paraId="33FC80B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c>
          <w:tcPr>
            <w:tcW w:w="1072" w:type="pct"/>
            <w:noWrap/>
            <w:hideMark/>
          </w:tcPr>
          <w:p w14:paraId="78E1EB14"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0E0443DF"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284BC384" w14:textId="77777777" w:rsidTr="00115346">
        <w:trPr>
          <w:trHeight w:val="300"/>
        </w:trPr>
        <w:tc>
          <w:tcPr>
            <w:tcW w:w="712" w:type="pct"/>
            <w:vAlign w:val="center"/>
            <w:hideMark/>
          </w:tcPr>
          <w:p w14:paraId="78E479E7"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30 a 34</w:t>
            </w:r>
          </w:p>
        </w:tc>
        <w:tc>
          <w:tcPr>
            <w:tcW w:w="1072" w:type="pct"/>
            <w:noWrap/>
            <w:vAlign w:val="bottom"/>
            <w:hideMark/>
          </w:tcPr>
          <w:p w14:paraId="70259BF6"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w:t>
            </w:r>
          </w:p>
        </w:tc>
        <w:tc>
          <w:tcPr>
            <w:tcW w:w="1072" w:type="pct"/>
          </w:tcPr>
          <w:p w14:paraId="6DDD0EBF"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w:t>
            </w:r>
          </w:p>
        </w:tc>
        <w:tc>
          <w:tcPr>
            <w:tcW w:w="1072" w:type="pct"/>
            <w:noWrap/>
            <w:hideMark/>
          </w:tcPr>
          <w:p w14:paraId="548BA24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c>
          <w:tcPr>
            <w:tcW w:w="1071" w:type="pct"/>
          </w:tcPr>
          <w:p w14:paraId="0BDC94F9"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r>
      <w:tr w:rsidR="00D72536" w:rsidRPr="00D72536" w14:paraId="29A715E1" w14:textId="77777777" w:rsidTr="00115346">
        <w:trPr>
          <w:trHeight w:val="300"/>
        </w:trPr>
        <w:tc>
          <w:tcPr>
            <w:tcW w:w="712" w:type="pct"/>
            <w:vAlign w:val="center"/>
            <w:hideMark/>
          </w:tcPr>
          <w:p w14:paraId="7D98551F"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35 a 39</w:t>
            </w:r>
          </w:p>
        </w:tc>
        <w:tc>
          <w:tcPr>
            <w:tcW w:w="1072" w:type="pct"/>
            <w:noWrap/>
            <w:vAlign w:val="bottom"/>
            <w:hideMark/>
          </w:tcPr>
          <w:p w14:paraId="580692F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7</w:t>
            </w:r>
          </w:p>
        </w:tc>
        <w:tc>
          <w:tcPr>
            <w:tcW w:w="1072" w:type="pct"/>
          </w:tcPr>
          <w:p w14:paraId="0F415F7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w:t>
            </w:r>
          </w:p>
        </w:tc>
        <w:tc>
          <w:tcPr>
            <w:tcW w:w="1072" w:type="pct"/>
            <w:noWrap/>
            <w:hideMark/>
          </w:tcPr>
          <w:p w14:paraId="59F7CEC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w:t>
            </w:r>
          </w:p>
        </w:tc>
        <w:tc>
          <w:tcPr>
            <w:tcW w:w="1071" w:type="pct"/>
          </w:tcPr>
          <w:p w14:paraId="12C4F99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r>
      <w:tr w:rsidR="00D72536" w:rsidRPr="00D72536" w14:paraId="6AD20FB2" w14:textId="77777777" w:rsidTr="00115346">
        <w:trPr>
          <w:trHeight w:val="300"/>
        </w:trPr>
        <w:tc>
          <w:tcPr>
            <w:tcW w:w="712" w:type="pct"/>
            <w:vAlign w:val="center"/>
            <w:hideMark/>
          </w:tcPr>
          <w:p w14:paraId="09FF294A"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40 a 44</w:t>
            </w:r>
          </w:p>
        </w:tc>
        <w:tc>
          <w:tcPr>
            <w:tcW w:w="1072" w:type="pct"/>
            <w:noWrap/>
            <w:vAlign w:val="bottom"/>
            <w:hideMark/>
          </w:tcPr>
          <w:p w14:paraId="1CDFB97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16</w:t>
            </w:r>
          </w:p>
        </w:tc>
        <w:tc>
          <w:tcPr>
            <w:tcW w:w="1072" w:type="pct"/>
          </w:tcPr>
          <w:p w14:paraId="4DDB3CA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10</w:t>
            </w:r>
          </w:p>
        </w:tc>
        <w:tc>
          <w:tcPr>
            <w:tcW w:w="1072" w:type="pct"/>
            <w:noWrap/>
            <w:hideMark/>
          </w:tcPr>
          <w:p w14:paraId="6EB1FF5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5</w:t>
            </w:r>
          </w:p>
        </w:tc>
        <w:tc>
          <w:tcPr>
            <w:tcW w:w="1071" w:type="pct"/>
          </w:tcPr>
          <w:p w14:paraId="3D9DD3C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3</w:t>
            </w:r>
          </w:p>
        </w:tc>
      </w:tr>
      <w:tr w:rsidR="00D72536" w:rsidRPr="00D72536" w14:paraId="7B6DBE12" w14:textId="77777777" w:rsidTr="00115346">
        <w:trPr>
          <w:trHeight w:val="300"/>
        </w:trPr>
        <w:tc>
          <w:tcPr>
            <w:tcW w:w="712" w:type="pct"/>
            <w:vAlign w:val="center"/>
            <w:hideMark/>
          </w:tcPr>
          <w:p w14:paraId="17B1056B"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45 a 49</w:t>
            </w:r>
          </w:p>
        </w:tc>
        <w:tc>
          <w:tcPr>
            <w:tcW w:w="1072" w:type="pct"/>
            <w:noWrap/>
            <w:vAlign w:val="bottom"/>
            <w:hideMark/>
          </w:tcPr>
          <w:p w14:paraId="7D29A71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27</w:t>
            </w:r>
          </w:p>
        </w:tc>
        <w:tc>
          <w:tcPr>
            <w:tcW w:w="1072" w:type="pct"/>
          </w:tcPr>
          <w:p w14:paraId="41FD3484"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16</w:t>
            </w:r>
          </w:p>
        </w:tc>
        <w:tc>
          <w:tcPr>
            <w:tcW w:w="1072" w:type="pct"/>
            <w:noWrap/>
            <w:hideMark/>
          </w:tcPr>
          <w:p w14:paraId="29D4874B"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8</w:t>
            </w:r>
          </w:p>
        </w:tc>
        <w:tc>
          <w:tcPr>
            <w:tcW w:w="1071" w:type="pct"/>
          </w:tcPr>
          <w:p w14:paraId="59570BD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5</w:t>
            </w:r>
          </w:p>
        </w:tc>
      </w:tr>
      <w:tr w:rsidR="00D72536" w:rsidRPr="00D72536" w14:paraId="69F7F8D4" w14:textId="77777777" w:rsidTr="00115346">
        <w:trPr>
          <w:trHeight w:val="300"/>
        </w:trPr>
        <w:tc>
          <w:tcPr>
            <w:tcW w:w="712" w:type="pct"/>
            <w:vAlign w:val="center"/>
            <w:hideMark/>
          </w:tcPr>
          <w:p w14:paraId="3C21B49F"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50 a 54</w:t>
            </w:r>
          </w:p>
        </w:tc>
        <w:tc>
          <w:tcPr>
            <w:tcW w:w="1072" w:type="pct"/>
            <w:noWrap/>
            <w:vAlign w:val="bottom"/>
            <w:hideMark/>
          </w:tcPr>
          <w:p w14:paraId="741B09C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42</w:t>
            </w:r>
          </w:p>
        </w:tc>
        <w:tc>
          <w:tcPr>
            <w:tcW w:w="1072" w:type="pct"/>
          </w:tcPr>
          <w:p w14:paraId="4C542011"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25</w:t>
            </w:r>
          </w:p>
        </w:tc>
        <w:tc>
          <w:tcPr>
            <w:tcW w:w="1072" w:type="pct"/>
            <w:noWrap/>
            <w:hideMark/>
          </w:tcPr>
          <w:p w14:paraId="525F0C4F"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13</w:t>
            </w:r>
          </w:p>
        </w:tc>
        <w:tc>
          <w:tcPr>
            <w:tcW w:w="1071" w:type="pct"/>
          </w:tcPr>
          <w:p w14:paraId="23680E43"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8</w:t>
            </w:r>
          </w:p>
        </w:tc>
      </w:tr>
      <w:tr w:rsidR="00D72536" w:rsidRPr="00D72536" w14:paraId="7AC053F4" w14:textId="77777777" w:rsidTr="00115346">
        <w:trPr>
          <w:trHeight w:val="300"/>
        </w:trPr>
        <w:tc>
          <w:tcPr>
            <w:tcW w:w="712" w:type="pct"/>
            <w:vAlign w:val="center"/>
            <w:hideMark/>
          </w:tcPr>
          <w:p w14:paraId="6911CAB5"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55 a 59</w:t>
            </w:r>
          </w:p>
        </w:tc>
        <w:tc>
          <w:tcPr>
            <w:tcW w:w="1072" w:type="pct"/>
            <w:noWrap/>
            <w:vAlign w:val="bottom"/>
            <w:hideMark/>
          </w:tcPr>
          <w:p w14:paraId="6A9A7EF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56</w:t>
            </w:r>
          </w:p>
        </w:tc>
        <w:tc>
          <w:tcPr>
            <w:tcW w:w="1072" w:type="pct"/>
          </w:tcPr>
          <w:p w14:paraId="44056AD9"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34</w:t>
            </w:r>
          </w:p>
        </w:tc>
        <w:tc>
          <w:tcPr>
            <w:tcW w:w="1072" w:type="pct"/>
            <w:noWrap/>
            <w:hideMark/>
          </w:tcPr>
          <w:p w14:paraId="1EE0EB9D"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20</w:t>
            </w:r>
          </w:p>
        </w:tc>
        <w:tc>
          <w:tcPr>
            <w:tcW w:w="1071" w:type="pct"/>
          </w:tcPr>
          <w:p w14:paraId="35BBA547"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12</w:t>
            </w:r>
          </w:p>
        </w:tc>
      </w:tr>
      <w:tr w:rsidR="00D72536" w:rsidRPr="00D72536" w14:paraId="7911EDD0" w14:textId="77777777" w:rsidTr="00115346">
        <w:trPr>
          <w:trHeight w:val="300"/>
        </w:trPr>
        <w:tc>
          <w:tcPr>
            <w:tcW w:w="712" w:type="pct"/>
            <w:vAlign w:val="center"/>
            <w:hideMark/>
          </w:tcPr>
          <w:p w14:paraId="3F61BC90"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60 a 64</w:t>
            </w:r>
          </w:p>
        </w:tc>
        <w:tc>
          <w:tcPr>
            <w:tcW w:w="1072" w:type="pct"/>
            <w:noWrap/>
            <w:vAlign w:val="bottom"/>
            <w:hideMark/>
          </w:tcPr>
          <w:p w14:paraId="238BC32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68</w:t>
            </w:r>
          </w:p>
        </w:tc>
        <w:tc>
          <w:tcPr>
            <w:tcW w:w="1072" w:type="pct"/>
          </w:tcPr>
          <w:p w14:paraId="43CA2C5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41</w:t>
            </w:r>
          </w:p>
        </w:tc>
        <w:tc>
          <w:tcPr>
            <w:tcW w:w="1072" w:type="pct"/>
            <w:noWrap/>
            <w:hideMark/>
          </w:tcPr>
          <w:p w14:paraId="3E132360"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39</w:t>
            </w:r>
          </w:p>
        </w:tc>
        <w:tc>
          <w:tcPr>
            <w:tcW w:w="1071" w:type="pct"/>
          </w:tcPr>
          <w:p w14:paraId="7F40EEB1"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23</w:t>
            </w:r>
          </w:p>
        </w:tc>
      </w:tr>
      <w:tr w:rsidR="00D72536" w:rsidRPr="00D72536" w14:paraId="29E67CD9" w14:textId="77777777" w:rsidTr="00115346">
        <w:trPr>
          <w:trHeight w:val="300"/>
        </w:trPr>
        <w:tc>
          <w:tcPr>
            <w:tcW w:w="712" w:type="pct"/>
            <w:vAlign w:val="center"/>
            <w:hideMark/>
          </w:tcPr>
          <w:p w14:paraId="3FDD4BF5"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65 a 69</w:t>
            </w:r>
          </w:p>
        </w:tc>
        <w:tc>
          <w:tcPr>
            <w:tcW w:w="1072" w:type="pct"/>
            <w:noWrap/>
            <w:vAlign w:val="bottom"/>
            <w:hideMark/>
          </w:tcPr>
          <w:p w14:paraId="27B7D889"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76</w:t>
            </w:r>
          </w:p>
        </w:tc>
        <w:tc>
          <w:tcPr>
            <w:tcW w:w="1072" w:type="pct"/>
          </w:tcPr>
          <w:p w14:paraId="52FAD423"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46</w:t>
            </w:r>
          </w:p>
        </w:tc>
        <w:tc>
          <w:tcPr>
            <w:tcW w:w="1072" w:type="pct"/>
            <w:noWrap/>
            <w:hideMark/>
          </w:tcPr>
          <w:p w14:paraId="7BA930C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70</w:t>
            </w:r>
          </w:p>
        </w:tc>
        <w:tc>
          <w:tcPr>
            <w:tcW w:w="1071" w:type="pct"/>
          </w:tcPr>
          <w:p w14:paraId="24C16257"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42</w:t>
            </w:r>
          </w:p>
        </w:tc>
      </w:tr>
      <w:tr w:rsidR="00D72536" w:rsidRPr="00D72536" w14:paraId="34D5E74B" w14:textId="77777777" w:rsidTr="00115346">
        <w:trPr>
          <w:trHeight w:val="300"/>
        </w:trPr>
        <w:tc>
          <w:tcPr>
            <w:tcW w:w="712" w:type="pct"/>
            <w:vAlign w:val="center"/>
            <w:hideMark/>
          </w:tcPr>
          <w:p w14:paraId="0A505120"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70 a 74</w:t>
            </w:r>
          </w:p>
        </w:tc>
        <w:tc>
          <w:tcPr>
            <w:tcW w:w="1072" w:type="pct"/>
            <w:noWrap/>
            <w:vAlign w:val="bottom"/>
            <w:hideMark/>
          </w:tcPr>
          <w:p w14:paraId="4644E64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51</w:t>
            </w:r>
          </w:p>
        </w:tc>
        <w:tc>
          <w:tcPr>
            <w:tcW w:w="1072" w:type="pct"/>
          </w:tcPr>
          <w:p w14:paraId="5C423D34"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31</w:t>
            </w:r>
          </w:p>
        </w:tc>
        <w:tc>
          <w:tcPr>
            <w:tcW w:w="1072" w:type="pct"/>
            <w:noWrap/>
            <w:hideMark/>
          </w:tcPr>
          <w:p w14:paraId="7432DBD0"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71</w:t>
            </w:r>
          </w:p>
        </w:tc>
        <w:tc>
          <w:tcPr>
            <w:tcW w:w="1071" w:type="pct"/>
          </w:tcPr>
          <w:p w14:paraId="5E27B84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43</w:t>
            </w:r>
          </w:p>
        </w:tc>
      </w:tr>
      <w:tr w:rsidR="00D72536" w:rsidRPr="00D72536" w14:paraId="64F93154" w14:textId="77777777" w:rsidTr="00115346">
        <w:trPr>
          <w:trHeight w:val="300"/>
        </w:trPr>
        <w:tc>
          <w:tcPr>
            <w:tcW w:w="712" w:type="pct"/>
            <w:vAlign w:val="center"/>
            <w:hideMark/>
          </w:tcPr>
          <w:p w14:paraId="0D16FE1E"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75 a 79</w:t>
            </w:r>
          </w:p>
        </w:tc>
        <w:tc>
          <w:tcPr>
            <w:tcW w:w="1072" w:type="pct"/>
            <w:noWrap/>
            <w:vAlign w:val="bottom"/>
            <w:hideMark/>
          </w:tcPr>
          <w:p w14:paraId="461F7E85"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20</w:t>
            </w:r>
          </w:p>
        </w:tc>
        <w:tc>
          <w:tcPr>
            <w:tcW w:w="1072" w:type="pct"/>
          </w:tcPr>
          <w:p w14:paraId="414581F1"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12</w:t>
            </w:r>
          </w:p>
        </w:tc>
        <w:tc>
          <w:tcPr>
            <w:tcW w:w="1072" w:type="pct"/>
            <w:noWrap/>
            <w:hideMark/>
          </w:tcPr>
          <w:p w14:paraId="2296DB49"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49</w:t>
            </w:r>
          </w:p>
        </w:tc>
        <w:tc>
          <w:tcPr>
            <w:tcW w:w="1071" w:type="pct"/>
          </w:tcPr>
          <w:p w14:paraId="1067461B"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29</w:t>
            </w:r>
          </w:p>
        </w:tc>
      </w:tr>
      <w:tr w:rsidR="00D72536" w:rsidRPr="00D72536" w14:paraId="26442C96" w14:textId="77777777" w:rsidTr="00115346">
        <w:trPr>
          <w:trHeight w:val="300"/>
        </w:trPr>
        <w:tc>
          <w:tcPr>
            <w:tcW w:w="712" w:type="pct"/>
            <w:vAlign w:val="center"/>
            <w:hideMark/>
          </w:tcPr>
          <w:p w14:paraId="46E65435"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80 a 84</w:t>
            </w:r>
          </w:p>
        </w:tc>
        <w:tc>
          <w:tcPr>
            <w:tcW w:w="1072" w:type="pct"/>
            <w:noWrap/>
            <w:vAlign w:val="bottom"/>
            <w:hideMark/>
          </w:tcPr>
          <w:p w14:paraId="0D39564A"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w:t>
            </w:r>
          </w:p>
        </w:tc>
        <w:tc>
          <w:tcPr>
            <w:tcW w:w="1072" w:type="pct"/>
          </w:tcPr>
          <w:p w14:paraId="6BB010F9"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c>
          <w:tcPr>
            <w:tcW w:w="1072" w:type="pct"/>
            <w:noWrap/>
            <w:hideMark/>
          </w:tcPr>
          <w:p w14:paraId="5C881438"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21</w:t>
            </w:r>
          </w:p>
        </w:tc>
        <w:tc>
          <w:tcPr>
            <w:tcW w:w="1071" w:type="pct"/>
          </w:tcPr>
          <w:p w14:paraId="6B7C9A9B"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13</w:t>
            </w:r>
          </w:p>
        </w:tc>
      </w:tr>
      <w:tr w:rsidR="00D72536" w:rsidRPr="00D72536" w14:paraId="4BC99144" w14:textId="77777777" w:rsidTr="00115346">
        <w:trPr>
          <w:trHeight w:val="300"/>
        </w:trPr>
        <w:tc>
          <w:tcPr>
            <w:tcW w:w="712" w:type="pct"/>
            <w:vAlign w:val="center"/>
            <w:hideMark/>
          </w:tcPr>
          <w:p w14:paraId="206F4F22"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85 a 89</w:t>
            </w:r>
          </w:p>
        </w:tc>
        <w:tc>
          <w:tcPr>
            <w:tcW w:w="1072" w:type="pct"/>
            <w:noWrap/>
            <w:vAlign w:val="bottom"/>
            <w:hideMark/>
          </w:tcPr>
          <w:p w14:paraId="693BA09E"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2F8DC25D"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6C663203"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c>
          <w:tcPr>
            <w:tcW w:w="1071" w:type="pct"/>
          </w:tcPr>
          <w:p w14:paraId="2799A131"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1</w:t>
            </w:r>
          </w:p>
        </w:tc>
      </w:tr>
      <w:tr w:rsidR="00D72536" w:rsidRPr="00D72536" w14:paraId="63DAF995" w14:textId="77777777" w:rsidTr="00115346">
        <w:trPr>
          <w:trHeight w:val="300"/>
        </w:trPr>
        <w:tc>
          <w:tcPr>
            <w:tcW w:w="712" w:type="pct"/>
            <w:vAlign w:val="center"/>
            <w:hideMark/>
          </w:tcPr>
          <w:p w14:paraId="0ED6CDF3"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90 a 94</w:t>
            </w:r>
          </w:p>
        </w:tc>
        <w:tc>
          <w:tcPr>
            <w:tcW w:w="1072" w:type="pct"/>
            <w:noWrap/>
            <w:vAlign w:val="bottom"/>
            <w:hideMark/>
          </w:tcPr>
          <w:p w14:paraId="61A79A7F"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75DEF551"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057615F2"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1E349F96"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6B286239" w14:textId="77777777" w:rsidTr="00115346">
        <w:trPr>
          <w:trHeight w:val="300"/>
        </w:trPr>
        <w:tc>
          <w:tcPr>
            <w:tcW w:w="712" w:type="pct"/>
            <w:vAlign w:val="center"/>
            <w:hideMark/>
          </w:tcPr>
          <w:p w14:paraId="62A5BCE4"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95+</w:t>
            </w:r>
          </w:p>
        </w:tc>
        <w:tc>
          <w:tcPr>
            <w:tcW w:w="1072" w:type="pct"/>
            <w:noWrap/>
            <w:vAlign w:val="bottom"/>
            <w:hideMark/>
          </w:tcPr>
          <w:p w14:paraId="0B4C6906"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tcPr>
          <w:p w14:paraId="0D65B7C4"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2" w:type="pct"/>
            <w:noWrap/>
            <w:hideMark/>
          </w:tcPr>
          <w:p w14:paraId="1247909B"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c>
          <w:tcPr>
            <w:tcW w:w="1071" w:type="pct"/>
          </w:tcPr>
          <w:p w14:paraId="5E8338D6"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0</w:t>
            </w:r>
          </w:p>
        </w:tc>
      </w:tr>
      <w:tr w:rsidR="00D72536" w:rsidRPr="00D72536" w14:paraId="5CDB8856" w14:textId="77777777" w:rsidTr="00115346">
        <w:trPr>
          <w:trHeight w:val="300"/>
        </w:trPr>
        <w:tc>
          <w:tcPr>
            <w:tcW w:w="712" w:type="pct"/>
            <w:vAlign w:val="center"/>
            <w:hideMark/>
          </w:tcPr>
          <w:p w14:paraId="074D27E9" w14:textId="77777777" w:rsidR="00D72536" w:rsidRPr="00D72536" w:rsidRDefault="00D72536" w:rsidP="00D72536">
            <w:pPr>
              <w:spacing w:after="0" w:line="240" w:lineRule="auto"/>
              <w:jc w:val="center"/>
              <w:rPr>
                <w:rFonts w:ascii="Arial" w:hAnsi="Arial" w:cs="Arial"/>
                <w:bCs/>
              </w:rPr>
            </w:pPr>
            <w:r w:rsidRPr="00D72536">
              <w:rPr>
                <w:rFonts w:ascii="Arial" w:hAnsi="Arial" w:cs="Arial"/>
                <w:bCs/>
              </w:rPr>
              <w:t>Total</w:t>
            </w:r>
          </w:p>
        </w:tc>
        <w:tc>
          <w:tcPr>
            <w:tcW w:w="1072" w:type="pct"/>
            <w:noWrap/>
            <w:vAlign w:val="center"/>
            <w:hideMark/>
          </w:tcPr>
          <w:p w14:paraId="3600CB38" w14:textId="77777777" w:rsidR="00D72536" w:rsidRPr="00D72536" w:rsidRDefault="00D72536" w:rsidP="00D72536">
            <w:pPr>
              <w:spacing w:after="0" w:line="240" w:lineRule="auto"/>
              <w:jc w:val="center"/>
              <w:rPr>
                <w:rFonts w:ascii="Arial" w:hAnsi="Arial" w:cs="Arial"/>
              </w:rPr>
            </w:pPr>
            <w:r w:rsidRPr="00D72536">
              <w:rPr>
                <w:rFonts w:ascii="Arial" w:hAnsi="Arial" w:cs="Arial"/>
              </w:rPr>
              <w:t>372</w:t>
            </w:r>
          </w:p>
        </w:tc>
        <w:tc>
          <w:tcPr>
            <w:tcW w:w="1072" w:type="pct"/>
            <w:vAlign w:val="center"/>
          </w:tcPr>
          <w:p w14:paraId="5780F850" w14:textId="77777777" w:rsidR="00D72536" w:rsidRPr="00D72536" w:rsidRDefault="00D72536" w:rsidP="00D72536">
            <w:pPr>
              <w:spacing w:after="0" w:line="240" w:lineRule="auto"/>
              <w:jc w:val="center"/>
              <w:rPr>
                <w:rFonts w:ascii="Arial" w:hAnsi="Arial" w:cs="Arial"/>
                <w:lang w:eastAsia="fr-FR"/>
              </w:rPr>
            </w:pPr>
            <w:r w:rsidRPr="00D72536">
              <w:rPr>
                <w:rFonts w:ascii="Arial" w:hAnsi="Arial" w:cs="Arial"/>
                <w:lang w:eastAsia="fr-FR"/>
              </w:rPr>
              <w:t>223</w:t>
            </w:r>
          </w:p>
        </w:tc>
        <w:tc>
          <w:tcPr>
            <w:tcW w:w="1072" w:type="pct"/>
            <w:noWrap/>
            <w:vAlign w:val="center"/>
            <w:hideMark/>
          </w:tcPr>
          <w:p w14:paraId="09C2EE28" w14:textId="77777777" w:rsidR="00D72536" w:rsidRPr="00D72536" w:rsidRDefault="00D72536" w:rsidP="00D72536">
            <w:pPr>
              <w:spacing w:after="0" w:line="240" w:lineRule="auto"/>
              <w:jc w:val="center"/>
              <w:rPr>
                <w:rFonts w:ascii="Arial" w:hAnsi="Arial" w:cs="Arial"/>
              </w:rPr>
            </w:pPr>
            <w:r w:rsidRPr="00D72536">
              <w:rPr>
                <w:rFonts w:ascii="Arial" w:hAnsi="Arial" w:cs="Arial"/>
              </w:rPr>
              <w:t>300</w:t>
            </w:r>
          </w:p>
        </w:tc>
        <w:tc>
          <w:tcPr>
            <w:tcW w:w="1071" w:type="pct"/>
            <w:vAlign w:val="center"/>
          </w:tcPr>
          <w:p w14:paraId="163726E3" w14:textId="77777777" w:rsidR="00D72536" w:rsidRPr="00D72536" w:rsidRDefault="00D72536" w:rsidP="00D72536">
            <w:pPr>
              <w:keepNext/>
              <w:spacing w:after="0" w:line="240" w:lineRule="auto"/>
              <w:jc w:val="center"/>
              <w:rPr>
                <w:rFonts w:ascii="Arial" w:hAnsi="Arial" w:cs="Arial"/>
                <w:lang w:eastAsia="fr-FR"/>
              </w:rPr>
            </w:pPr>
            <w:r w:rsidRPr="00D72536">
              <w:rPr>
                <w:rFonts w:ascii="Arial" w:hAnsi="Arial" w:cs="Arial"/>
                <w:lang w:eastAsia="fr-FR"/>
              </w:rPr>
              <w:t>180</w:t>
            </w:r>
          </w:p>
        </w:tc>
      </w:tr>
    </w:tbl>
    <w:p w14:paraId="6D0A3C15" w14:textId="77777777" w:rsidR="00D72536" w:rsidRPr="00D72536" w:rsidRDefault="00D72536" w:rsidP="00D72536">
      <w:pPr>
        <w:spacing w:after="200" w:line="276" w:lineRule="auto"/>
        <w:rPr>
          <w:rFonts w:ascii="Arial" w:eastAsia="Times New Roman" w:hAnsi="Arial" w:cs="Arial"/>
          <w:sz w:val="20"/>
          <w:szCs w:val="20"/>
          <w:lang w:eastAsia="fr-FR"/>
        </w:rPr>
      </w:pPr>
    </w:p>
    <w:p w14:paraId="3CAFE099" w14:textId="77777777" w:rsidR="00D72536" w:rsidRPr="00D72536" w:rsidRDefault="00D72536" w:rsidP="00D72536">
      <w:pPr>
        <w:spacing w:after="200" w:line="276" w:lineRule="auto"/>
        <w:rPr>
          <w:rFonts w:ascii="Arial" w:eastAsia="Times New Roman" w:hAnsi="Arial" w:cs="Arial"/>
          <w:sz w:val="20"/>
          <w:szCs w:val="20"/>
          <w:lang w:eastAsia="fr-FR"/>
        </w:rPr>
      </w:pPr>
      <w:r w:rsidRPr="00D72536">
        <w:rPr>
          <w:rFonts w:ascii="Arial" w:eastAsia="Times New Roman" w:hAnsi="Arial" w:cs="Arial"/>
          <w:sz w:val="20"/>
          <w:szCs w:val="20"/>
          <w:vertAlign w:val="superscript"/>
          <w:lang w:eastAsia="fr-FR"/>
        </w:rPr>
        <w:t>a</w:t>
      </w:r>
      <w:r w:rsidRPr="00D72536">
        <w:rPr>
          <w:rFonts w:ascii="Arial" w:eastAsia="Times New Roman" w:hAnsi="Arial" w:cs="Arial"/>
          <w:sz w:val="20"/>
          <w:szCs w:val="20"/>
          <w:lang w:eastAsia="fr-FR"/>
        </w:rPr>
        <w:t xml:space="preserve"> (RR-</w:t>
      </w:r>
      <w:proofErr w:type="gramStart"/>
      <w:r w:rsidRPr="00D72536">
        <w:rPr>
          <w:rFonts w:ascii="Arial" w:eastAsia="Times New Roman" w:hAnsi="Arial" w:cs="Arial"/>
          <w:sz w:val="20"/>
          <w:szCs w:val="20"/>
          <w:lang w:eastAsia="fr-FR"/>
        </w:rPr>
        <w:t>1)/</w:t>
      </w:r>
      <w:proofErr w:type="gramEnd"/>
      <w:r w:rsidRPr="00D72536">
        <w:rPr>
          <w:rFonts w:ascii="Arial" w:eastAsia="Times New Roman" w:hAnsi="Arial" w:cs="Arial"/>
          <w:sz w:val="20"/>
          <w:szCs w:val="20"/>
          <w:lang w:eastAsia="fr-FR"/>
        </w:rPr>
        <w:t>RR, considerando um RR de 2,50 (</w:t>
      </w:r>
      <w:proofErr w:type="spellStart"/>
      <w:r w:rsidRPr="00D72536">
        <w:rPr>
          <w:rFonts w:ascii="Arial" w:eastAsia="Times New Roman" w:hAnsi="Arial" w:cs="Arial"/>
          <w:sz w:val="20"/>
          <w:szCs w:val="20"/>
          <w:lang w:eastAsia="fr-FR"/>
        </w:rPr>
        <w:t>Saha</w:t>
      </w:r>
      <w:proofErr w:type="spellEnd"/>
      <w:r w:rsidRPr="00D72536">
        <w:rPr>
          <w:rFonts w:ascii="Arial" w:eastAsia="Times New Roman" w:hAnsi="Arial" w:cs="Arial"/>
          <w:sz w:val="20"/>
          <w:szCs w:val="20"/>
          <w:lang w:eastAsia="fr-FR"/>
        </w:rPr>
        <w:t xml:space="preserve"> </w:t>
      </w:r>
      <w:proofErr w:type="spellStart"/>
      <w:r w:rsidRPr="00D72536">
        <w:rPr>
          <w:rFonts w:ascii="Arial" w:eastAsia="Times New Roman" w:hAnsi="Arial" w:cs="Arial"/>
          <w:i/>
          <w:sz w:val="20"/>
          <w:szCs w:val="20"/>
          <w:lang w:eastAsia="fr-FR"/>
        </w:rPr>
        <w:t>et</w:t>
      </w:r>
      <w:proofErr w:type="spellEnd"/>
      <w:r w:rsidRPr="00D72536">
        <w:rPr>
          <w:rFonts w:ascii="Arial" w:eastAsia="Times New Roman" w:hAnsi="Arial" w:cs="Arial"/>
          <w:i/>
          <w:sz w:val="20"/>
          <w:szCs w:val="20"/>
          <w:lang w:eastAsia="fr-FR"/>
        </w:rPr>
        <w:t xml:space="preserve"> al.</w:t>
      </w:r>
      <w:r w:rsidRPr="00D72536">
        <w:rPr>
          <w:rFonts w:ascii="Arial" w:eastAsia="Times New Roman" w:hAnsi="Arial" w:cs="Arial"/>
          <w:sz w:val="20"/>
          <w:szCs w:val="20"/>
          <w:lang w:eastAsia="fr-FR"/>
        </w:rPr>
        <w:t>, 2007).[13]</w:t>
      </w:r>
    </w:p>
    <w:p w14:paraId="424827DF" w14:textId="77777777" w:rsidR="00D72536" w:rsidRPr="00D72536" w:rsidRDefault="00D72536" w:rsidP="00D72536">
      <w:pPr>
        <w:rPr>
          <w:rFonts w:eastAsia="Times New Roman" w:cs="Times New Roman"/>
          <w:sz w:val="24"/>
          <w:szCs w:val="24"/>
          <w:lang w:eastAsia="fr-FR"/>
        </w:rPr>
      </w:pPr>
      <w:r w:rsidRPr="00D72536">
        <w:rPr>
          <w:rFonts w:eastAsia="Times New Roman" w:cs="Times New Roman"/>
          <w:sz w:val="24"/>
          <w:szCs w:val="24"/>
          <w:lang w:eastAsia="fr-FR"/>
        </w:rPr>
        <w:br w:type="page"/>
      </w:r>
    </w:p>
    <w:p w14:paraId="652E6B21" w14:textId="7769E1C8" w:rsidR="00D72536" w:rsidRPr="00D72536" w:rsidRDefault="00D72536" w:rsidP="00D72536">
      <w:pPr>
        <w:tabs>
          <w:tab w:val="left" w:pos="0"/>
          <w:tab w:val="left" w:pos="142"/>
          <w:tab w:val="left" w:pos="284"/>
        </w:tabs>
        <w:spacing w:after="60" w:line="276" w:lineRule="auto"/>
        <w:rPr>
          <w:rFonts w:ascii="Arial" w:eastAsia="Times New Roman" w:hAnsi="Arial" w:cs="Arial"/>
          <w:kern w:val="28"/>
          <w:sz w:val="20"/>
          <w:szCs w:val="20"/>
          <w:lang w:eastAsia="fr-FR"/>
        </w:rPr>
      </w:pPr>
      <w:r w:rsidRPr="00D72536">
        <w:rPr>
          <w:rFonts w:ascii="Arial" w:eastAsia="Times New Roman" w:hAnsi="Arial" w:cs="Arial"/>
          <w:b/>
          <w:bCs/>
          <w:sz w:val="20"/>
          <w:szCs w:val="20"/>
          <w:lang w:eastAsia="fr-FR"/>
        </w:rPr>
        <w:lastRenderedPageBreak/>
        <w:t xml:space="preserve">Tabela </w:t>
      </w:r>
      <w:r w:rsidR="00422D75">
        <w:rPr>
          <w:rFonts w:ascii="Arial" w:eastAsia="Times New Roman" w:hAnsi="Arial" w:cs="Arial"/>
          <w:b/>
          <w:bCs/>
          <w:sz w:val="20"/>
          <w:szCs w:val="20"/>
          <w:lang w:eastAsia="fr-FR"/>
        </w:rPr>
        <w:t>3</w:t>
      </w:r>
      <w:r w:rsidRPr="00D72536">
        <w:rPr>
          <w:rFonts w:ascii="Arial" w:eastAsia="Times New Roman" w:hAnsi="Arial" w:cs="Arial"/>
          <w:b/>
          <w:bCs/>
          <w:sz w:val="20"/>
          <w:szCs w:val="20"/>
          <w:lang w:eastAsia="fr-FR"/>
        </w:rPr>
        <w:t>, material suplementar. Estimativas da incidência e duração da esquizofrenia em Portugal Continental, 2015.</w:t>
      </w:r>
    </w:p>
    <w:p w14:paraId="40D0B804" w14:textId="77777777" w:rsidR="00D72536" w:rsidRPr="00D72536" w:rsidRDefault="00D72536" w:rsidP="00D72536">
      <w:pPr>
        <w:keepNext/>
        <w:tabs>
          <w:tab w:val="left" w:pos="0"/>
          <w:tab w:val="left" w:pos="142"/>
          <w:tab w:val="left" w:pos="284"/>
        </w:tabs>
        <w:spacing w:after="60" w:line="276" w:lineRule="auto"/>
        <w:jc w:val="center"/>
        <w:rPr>
          <w:rFonts w:ascii="Arial" w:eastAsia="Times New Roman" w:hAnsi="Arial" w:cs="Arial"/>
          <w:b/>
          <w:bCs/>
          <w:kern w:val="28"/>
          <w:sz w:val="20"/>
          <w:szCs w:val="20"/>
          <w:lang w:eastAsia="fr-FR"/>
        </w:rPr>
      </w:pPr>
    </w:p>
    <w:tbl>
      <w:tblPr>
        <w:tblStyle w:val="Tabelasimples1121"/>
        <w:tblW w:w="5000" w:type="pct"/>
        <w:tblLook w:val="04A0" w:firstRow="1" w:lastRow="0" w:firstColumn="1" w:lastColumn="0" w:noHBand="0" w:noVBand="1"/>
      </w:tblPr>
      <w:tblGrid>
        <w:gridCol w:w="1417"/>
        <w:gridCol w:w="1417"/>
        <w:gridCol w:w="1418"/>
        <w:gridCol w:w="1417"/>
        <w:gridCol w:w="1417"/>
        <w:gridCol w:w="1418"/>
      </w:tblGrid>
      <w:tr w:rsidR="00D72536" w:rsidRPr="00D72536" w14:paraId="20E9556E" w14:textId="77777777" w:rsidTr="00115346">
        <w:trPr>
          <w:cnfStyle w:val="100000000000" w:firstRow="1" w:lastRow="0" w:firstColumn="0" w:lastColumn="0" w:oddVBand="0" w:evenVBand="0" w:oddHBand="0" w:evenHBand="0" w:firstRowFirstColumn="0" w:firstRowLastColumn="0" w:lastRowFirstColumn="0" w:lastRowLastColumn="0"/>
          <w:trHeight w:val="300"/>
        </w:trPr>
        <w:tc>
          <w:tcPr>
            <w:tcW w:w="2500" w:type="pct"/>
            <w:gridSpan w:val="3"/>
            <w:tcBorders>
              <w:top w:val="single" w:sz="12" w:space="0" w:color="008000"/>
              <w:bottom w:val="single" w:sz="8" w:space="0" w:color="008000"/>
              <w:right w:val="single" w:sz="8" w:space="0" w:color="008000"/>
            </w:tcBorders>
            <w:vAlign w:val="center"/>
          </w:tcPr>
          <w:p w14:paraId="223041EE" w14:textId="77777777" w:rsidR="00D72536" w:rsidRPr="00D72536" w:rsidRDefault="00D72536" w:rsidP="00D72536">
            <w:pPr>
              <w:spacing w:after="100" w:afterAutospacing="1"/>
              <w:jc w:val="center"/>
              <w:rPr>
                <w:rFonts w:ascii="Arial" w:hAnsi="Arial" w:cs="Arial"/>
                <w:b/>
                <w:lang w:eastAsia="fr-FR"/>
              </w:rPr>
            </w:pPr>
            <w:r w:rsidRPr="00D72536">
              <w:rPr>
                <w:rFonts w:ascii="Arial" w:hAnsi="Arial" w:cs="Arial"/>
                <w:b/>
                <w:lang w:eastAsia="fr-FR"/>
              </w:rPr>
              <w:t>Homens</w:t>
            </w:r>
          </w:p>
        </w:tc>
        <w:tc>
          <w:tcPr>
            <w:tcW w:w="2500" w:type="pct"/>
            <w:gridSpan w:val="3"/>
            <w:tcBorders>
              <w:left w:val="single" w:sz="8" w:space="0" w:color="008000"/>
              <w:bottom w:val="single" w:sz="8" w:space="0" w:color="008000"/>
            </w:tcBorders>
            <w:vAlign w:val="center"/>
          </w:tcPr>
          <w:p w14:paraId="305DFE16" w14:textId="77777777" w:rsidR="00D72536" w:rsidRPr="00D72536" w:rsidRDefault="00D72536" w:rsidP="00D72536">
            <w:pPr>
              <w:spacing w:after="100" w:afterAutospacing="1"/>
              <w:jc w:val="center"/>
              <w:rPr>
                <w:rFonts w:ascii="Arial" w:hAnsi="Arial" w:cs="Arial"/>
                <w:b/>
                <w:lang w:eastAsia="fr-FR"/>
              </w:rPr>
            </w:pPr>
            <w:r w:rsidRPr="00D72536">
              <w:rPr>
                <w:rFonts w:ascii="Arial" w:hAnsi="Arial" w:cs="Arial"/>
                <w:b/>
                <w:lang w:eastAsia="fr-FR"/>
              </w:rPr>
              <w:t>Mulheres</w:t>
            </w:r>
          </w:p>
        </w:tc>
      </w:tr>
      <w:tr w:rsidR="00D72536" w:rsidRPr="00D72536" w14:paraId="654DA188" w14:textId="77777777" w:rsidTr="00115346">
        <w:trPr>
          <w:trHeight w:val="300"/>
        </w:trPr>
        <w:tc>
          <w:tcPr>
            <w:tcW w:w="833" w:type="pct"/>
            <w:tcBorders>
              <w:bottom w:val="single" w:sz="8" w:space="0" w:color="008000"/>
            </w:tcBorders>
            <w:vAlign w:val="center"/>
          </w:tcPr>
          <w:p w14:paraId="327F22B8" w14:textId="77777777" w:rsidR="00D72536" w:rsidRPr="00D72536" w:rsidRDefault="00D72536" w:rsidP="00D72536">
            <w:pPr>
              <w:spacing w:after="100" w:afterAutospacing="1"/>
              <w:jc w:val="center"/>
              <w:rPr>
                <w:rFonts w:ascii="Arial" w:hAnsi="Arial" w:cs="Arial"/>
                <w:b/>
                <w:lang w:eastAsia="fr-FR"/>
              </w:rPr>
            </w:pPr>
            <w:r w:rsidRPr="00D72536">
              <w:rPr>
                <w:rFonts w:ascii="Arial" w:hAnsi="Arial" w:cs="Arial"/>
                <w:b/>
                <w:lang w:eastAsia="fr-FR"/>
              </w:rPr>
              <w:t>Grupo etário (anos)</w:t>
            </w:r>
          </w:p>
        </w:tc>
        <w:tc>
          <w:tcPr>
            <w:tcW w:w="833" w:type="pct"/>
            <w:tcBorders>
              <w:bottom w:val="single" w:sz="8" w:space="0" w:color="008000"/>
            </w:tcBorders>
            <w:vAlign w:val="center"/>
          </w:tcPr>
          <w:p w14:paraId="5263CACE" w14:textId="77777777" w:rsidR="00D72536" w:rsidRPr="00D72536" w:rsidRDefault="00D72536" w:rsidP="00D72536">
            <w:pPr>
              <w:spacing w:after="100" w:afterAutospacing="1"/>
              <w:jc w:val="center"/>
              <w:rPr>
                <w:rFonts w:ascii="Arial" w:hAnsi="Arial" w:cs="Arial"/>
                <w:b/>
                <w:lang w:eastAsia="fr-FR"/>
              </w:rPr>
            </w:pPr>
            <w:r w:rsidRPr="00D72536">
              <w:rPr>
                <w:rFonts w:ascii="Arial" w:hAnsi="Arial" w:cs="Arial"/>
                <w:b/>
                <w:lang w:eastAsia="fr-FR"/>
              </w:rPr>
              <w:t>Incidência (/100.000)</w:t>
            </w:r>
          </w:p>
        </w:tc>
        <w:tc>
          <w:tcPr>
            <w:tcW w:w="834" w:type="pct"/>
            <w:tcBorders>
              <w:top w:val="nil"/>
              <w:bottom w:val="single" w:sz="8" w:space="0" w:color="008000"/>
              <w:right w:val="single" w:sz="8" w:space="0" w:color="008000"/>
            </w:tcBorders>
            <w:vAlign w:val="center"/>
          </w:tcPr>
          <w:p w14:paraId="59681222" w14:textId="77777777" w:rsidR="00D72536" w:rsidRPr="00D72536" w:rsidRDefault="00D72536" w:rsidP="00D72536">
            <w:pPr>
              <w:jc w:val="center"/>
              <w:rPr>
                <w:rFonts w:ascii="Arial" w:hAnsi="Arial" w:cs="Arial"/>
                <w:b/>
                <w:lang w:eastAsia="fr-FR"/>
              </w:rPr>
            </w:pPr>
            <w:r w:rsidRPr="00D72536">
              <w:rPr>
                <w:rFonts w:ascii="Arial" w:hAnsi="Arial" w:cs="Arial"/>
                <w:b/>
                <w:lang w:eastAsia="fr-FR"/>
              </w:rPr>
              <w:t>Duração</w:t>
            </w:r>
          </w:p>
          <w:p w14:paraId="088C7F44" w14:textId="77777777" w:rsidR="00D72536" w:rsidRPr="00D72536" w:rsidRDefault="00D72536" w:rsidP="00D72536">
            <w:pPr>
              <w:jc w:val="center"/>
              <w:rPr>
                <w:rFonts w:ascii="Arial" w:hAnsi="Arial" w:cs="Arial"/>
                <w:b/>
                <w:lang w:eastAsia="fr-FR"/>
              </w:rPr>
            </w:pPr>
            <w:r w:rsidRPr="00D72536">
              <w:rPr>
                <w:rFonts w:ascii="Arial" w:hAnsi="Arial" w:cs="Arial"/>
                <w:b/>
                <w:lang w:eastAsia="fr-FR"/>
              </w:rPr>
              <w:t>(anos)</w:t>
            </w:r>
          </w:p>
        </w:tc>
        <w:tc>
          <w:tcPr>
            <w:tcW w:w="833" w:type="pct"/>
            <w:tcBorders>
              <w:left w:val="single" w:sz="8" w:space="0" w:color="008000"/>
              <w:bottom w:val="single" w:sz="8" w:space="0" w:color="008000"/>
            </w:tcBorders>
            <w:vAlign w:val="center"/>
          </w:tcPr>
          <w:p w14:paraId="10FB102C" w14:textId="77777777" w:rsidR="00D72536" w:rsidRPr="00D72536" w:rsidRDefault="00D72536" w:rsidP="00D72536">
            <w:pPr>
              <w:spacing w:after="100" w:afterAutospacing="1"/>
              <w:jc w:val="center"/>
              <w:rPr>
                <w:rFonts w:ascii="Arial" w:hAnsi="Arial" w:cs="Arial"/>
                <w:b/>
                <w:lang w:eastAsia="fr-FR"/>
              </w:rPr>
            </w:pPr>
            <w:r w:rsidRPr="00D72536">
              <w:rPr>
                <w:rFonts w:ascii="Arial" w:hAnsi="Arial" w:cs="Arial"/>
                <w:b/>
                <w:lang w:eastAsia="fr-FR"/>
              </w:rPr>
              <w:t>Grupo etário (anos)</w:t>
            </w:r>
          </w:p>
        </w:tc>
        <w:tc>
          <w:tcPr>
            <w:tcW w:w="833" w:type="pct"/>
            <w:tcBorders>
              <w:bottom w:val="single" w:sz="8" w:space="0" w:color="008000"/>
            </w:tcBorders>
            <w:vAlign w:val="center"/>
          </w:tcPr>
          <w:p w14:paraId="0AA831DE" w14:textId="77777777" w:rsidR="00D72536" w:rsidRPr="00D72536" w:rsidRDefault="00D72536" w:rsidP="00D72536">
            <w:pPr>
              <w:spacing w:after="100" w:afterAutospacing="1"/>
              <w:jc w:val="center"/>
              <w:rPr>
                <w:rFonts w:ascii="Arial" w:hAnsi="Arial" w:cs="Arial"/>
                <w:b/>
                <w:lang w:eastAsia="fr-FR"/>
              </w:rPr>
            </w:pPr>
            <w:r w:rsidRPr="00D72536">
              <w:rPr>
                <w:rFonts w:ascii="Arial" w:hAnsi="Arial" w:cs="Arial"/>
                <w:b/>
                <w:lang w:eastAsia="fr-FR"/>
              </w:rPr>
              <w:t>Incidência (/100.000)</w:t>
            </w:r>
          </w:p>
        </w:tc>
        <w:tc>
          <w:tcPr>
            <w:tcW w:w="834" w:type="pct"/>
            <w:tcBorders>
              <w:bottom w:val="single" w:sz="8" w:space="0" w:color="008000"/>
            </w:tcBorders>
            <w:vAlign w:val="center"/>
          </w:tcPr>
          <w:p w14:paraId="718DC8DE" w14:textId="77777777" w:rsidR="00D72536" w:rsidRPr="00D72536" w:rsidRDefault="00D72536" w:rsidP="00D72536">
            <w:pPr>
              <w:jc w:val="center"/>
              <w:rPr>
                <w:rFonts w:ascii="Arial" w:hAnsi="Arial" w:cs="Arial"/>
                <w:b/>
                <w:lang w:eastAsia="fr-FR"/>
              </w:rPr>
            </w:pPr>
            <w:r w:rsidRPr="00D72536">
              <w:rPr>
                <w:rFonts w:ascii="Arial" w:hAnsi="Arial" w:cs="Arial"/>
                <w:b/>
                <w:lang w:eastAsia="fr-FR"/>
              </w:rPr>
              <w:t>Duração</w:t>
            </w:r>
          </w:p>
          <w:p w14:paraId="675FE7D4" w14:textId="77777777" w:rsidR="00D72536" w:rsidRPr="00D72536" w:rsidRDefault="00D72536" w:rsidP="00D72536">
            <w:pPr>
              <w:jc w:val="center"/>
              <w:rPr>
                <w:rFonts w:ascii="Arial" w:hAnsi="Arial" w:cs="Arial"/>
                <w:b/>
                <w:lang w:eastAsia="fr-FR"/>
              </w:rPr>
            </w:pPr>
            <w:r w:rsidRPr="00D72536">
              <w:rPr>
                <w:rFonts w:ascii="Arial" w:hAnsi="Arial" w:cs="Arial"/>
                <w:b/>
                <w:lang w:eastAsia="fr-FR"/>
              </w:rPr>
              <w:t>(anos)</w:t>
            </w:r>
          </w:p>
        </w:tc>
      </w:tr>
      <w:tr w:rsidR="00D72536" w:rsidRPr="00D72536" w14:paraId="45515C71" w14:textId="77777777" w:rsidTr="00115346">
        <w:trPr>
          <w:trHeight w:val="300"/>
        </w:trPr>
        <w:tc>
          <w:tcPr>
            <w:tcW w:w="833" w:type="pct"/>
            <w:shd w:val="clear" w:color="auto" w:fill="auto"/>
            <w:vAlign w:val="center"/>
          </w:tcPr>
          <w:p w14:paraId="6E3ABF5C"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0-4</w:t>
            </w:r>
          </w:p>
        </w:tc>
        <w:tc>
          <w:tcPr>
            <w:tcW w:w="833" w:type="pct"/>
            <w:shd w:val="clear" w:color="auto" w:fill="auto"/>
            <w:vAlign w:val="bottom"/>
          </w:tcPr>
          <w:p w14:paraId="5ECC2E45"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0,0</w:t>
            </w:r>
          </w:p>
        </w:tc>
        <w:tc>
          <w:tcPr>
            <w:tcW w:w="834" w:type="pct"/>
            <w:tcBorders>
              <w:right w:val="single" w:sz="8" w:space="0" w:color="008000"/>
            </w:tcBorders>
            <w:shd w:val="clear" w:color="auto" w:fill="auto"/>
            <w:vAlign w:val="bottom"/>
          </w:tcPr>
          <w:p w14:paraId="5A180506"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64</w:t>
            </w:r>
          </w:p>
        </w:tc>
        <w:tc>
          <w:tcPr>
            <w:tcW w:w="833" w:type="pct"/>
            <w:tcBorders>
              <w:left w:val="single" w:sz="8" w:space="0" w:color="008000"/>
            </w:tcBorders>
            <w:shd w:val="clear" w:color="auto" w:fill="auto"/>
            <w:vAlign w:val="center"/>
          </w:tcPr>
          <w:p w14:paraId="6685AFF6"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0-4</w:t>
            </w:r>
          </w:p>
        </w:tc>
        <w:tc>
          <w:tcPr>
            <w:tcW w:w="833" w:type="pct"/>
            <w:shd w:val="clear" w:color="auto" w:fill="auto"/>
          </w:tcPr>
          <w:p w14:paraId="31BC691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0,0</w:t>
            </w:r>
          </w:p>
        </w:tc>
        <w:tc>
          <w:tcPr>
            <w:tcW w:w="834" w:type="pct"/>
            <w:shd w:val="clear" w:color="auto" w:fill="auto"/>
          </w:tcPr>
          <w:p w14:paraId="2417EFA5"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69</w:t>
            </w:r>
          </w:p>
        </w:tc>
      </w:tr>
      <w:tr w:rsidR="00D72536" w:rsidRPr="00D72536" w14:paraId="3D192ADB" w14:textId="77777777" w:rsidTr="00115346">
        <w:trPr>
          <w:trHeight w:val="300"/>
        </w:trPr>
        <w:tc>
          <w:tcPr>
            <w:tcW w:w="833" w:type="pct"/>
            <w:shd w:val="clear" w:color="auto" w:fill="auto"/>
            <w:vAlign w:val="center"/>
          </w:tcPr>
          <w:p w14:paraId="5D542A2C"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5-9</w:t>
            </w:r>
          </w:p>
        </w:tc>
        <w:tc>
          <w:tcPr>
            <w:tcW w:w="833" w:type="pct"/>
            <w:shd w:val="clear" w:color="auto" w:fill="auto"/>
            <w:vAlign w:val="bottom"/>
          </w:tcPr>
          <w:p w14:paraId="00E2D2F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1,6</w:t>
            </w:r>
          </w:p>
        </w:tc>
        <w:tc>
          <w:tcPr>
            <w:tcW w:w="834" w:type="pct"/>
            <w:tcBorders>
              <w:right w:val="single" w:sz="8" w:space="0" w:color="008000"/>
            </w:tcBorders>
            <w:shd w:val="clear" w:color="auto" w:fill="auto"/>
            <w:vAlign w:val="bottom"/>
          </w:tcPr>
          <w:p w14:paraId="18C5418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60</w:t>
            </w:r>
          </w:p>
        </w:tc>
        <w:tc>
          <w:tcPr>
            <w:tcW w:w="833" w:type="pct"/>
            <w:tcBorders>
              <w:left w:val="single" w:sz="8" w:space="0" w:color="008000"/>
            </w:tcBorders>
            <w:shd w:val="clear" w:color="auto" w:fill="auto"/>
            <w:vAlign w:val="center"/>
          </w:tcPr>
          <w:p w14:paraId="626F970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5-9</w:t>
            </w:r>
          </w:p>
        </w:tc>
        <w:tc>
          <w:tcPr>
            <w:tcW w:w="833" w:type="pct"/>
            <w:shd w:val="clear" w:color="auto" w:fill="auto"/>
          </w:tcPr>
          <w:p w14:paraId="6E02F692"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1,5</w:t>
            </w:r>
          </w:p>
        </w:tc>
        <w:tc>
          <w:tcPr>
            <w:tcW w:w="834" w:type="pct"/>
            <w:shd w:val="clear" w:color="auto" w:fill="auto"/>
          </w:tcPr>
          <w:p w14:paraId="02BA389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64</w:t>
            </w:r>
          </w:p>
        </w:tc>
      </w:tr>
      <w:tr w:rsidR="00D72536" w:rsidRPr="00D72536" w14:paraId="398C8C89" w14:textId="77777777" w:rsidTr="00115346">
        <w:trPr>
          <w:trHeight w:val="300"/>
        </w:trPr>
        <w:tc>
          <w:tcPr>
            <w:tcW w:w="833" w:type="pct"/>
            <w:shd w:val="clear" w:color="auto" w:fill="auto"/>
            <w:vAlign w:val="center"/>
          </w:tcPr>
          <w:p w14:paraId="098DEA08"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10-14</w:t>
            </w:r>
          </w:p>
        </w:tc>
        <w:tc>
          <w:tcPr>
            <w:tcW w:w="833" w:type="pct"/>
            <w:shd w:val="clear" w:color="auto" w:fill="auto"/>
            <w:vAlign w:val="bottom"/>
          </w:tcPr>
          <w:p w14:paraId="2457F08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17,6</w:t>
            </w:r>
          </w:p>
        </w:tc>
        <w:tc>
          <w:tcPr>
            <w:tcW w:w="834" w:type="pct"/>
            <w:tcBorders>
              <w:right w:val="single" w:sz="8" w:space="0" w:color="008000"/>
            </w:tcBorders>
            <w:shd w:val="clear" w:color="auto" w:fill="auto"/>
            <w:vAlign w:val="bottom"/>
          </w:tcPr>
          <w:p w14:paraId="5CB41B2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56</w:t>
            </w:r>
          </w:p>
        </w:tc>
        <w:tc>
          <w:tcPr>
            <w:tcW w:w="833" w:type="pct"/>
            <w:tcBorders>
              <w:left w:val="single" w:sz="8" w:space="0" w:color="008000"/>
            </w:tcBorders>
            <w:shd w:val="clear" w:color="auto" w:fill="auto"/>
            <w:vAlign w:val="center"/>
          </w:tcPr>
          <w:p w14:paraId="048371E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10-14</w:t>
            </w:r>
          </w:p>
        </w:tc>
        <w:tc>
          <w:tcPr>
            <w:tcW w:w="833" w:type="pct"/>
            <w:shd w:val="clear" w:color="auto" w:fill="auto"/>
          </w:tcPr>
          <w:p w14:paraId="41B57B9E"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16,3</w:t>
            </w:r>
          </w:p>
        </w:tc>
        <w:tc>
          <w:tcPr>
            <w:tcW w:w="834" w:type="pct"/>
            <w:shd w:val="clear" w:color="auto" w:fill="auto"/>
          </w:tcPr>
          <w:p w14:paraId="6A5427E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60</w:t>
            </w:r>
          </w:p>
        </w:tc>
      </w:tr>
      <w:tr w:rsidR="00D72536" w:rsidRPr="00D72536" w14:paraId="59F32F3D" w14:textId="77777777" w:rsidTr="00115346">
        <w:trPr>
          <w:trHeight w:val="300"/>
        </w:trPr>
        <w:tc>
          <w:tcPr>
            <w:tcW w:w="833" w:type="pct"/>
            <w:shd w:val="clear" w:color="auto" w:fill="auto"/>
            <w:vAlign w:val="center"/>
          </w:tcPr>
          <w:p w14:paraId="5FF82AA6"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15-19</w:t>
            </w:r>
          </w:p>
        </w:tc>
        <w:tc>
          <w:tcPr>
            <w:tcW w:w="833" w:type="pct"/>
            <w:shd w:val="clear" w:color="auto" w:fill="auto"/>
            <w:vAlign w:val="bottom"/>
          </w:tcPr>
          <w:p w14:paraId="4E891C1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46,1</w:t>
            </w:r>
          </w:p>
        </w:tc>
        <w:tc>
          <w:tcPr>
            <w:tcW w:w="834" w:type="pct"/>
            <w:tcBorders>
              <w:right w:val="single" w:sz="8" w:space="0" w:color="008000"/>
            </w:tcBorders>
            <w:shd w:val="clear" w:color="auto" w:fill="auto"/>
            <w:vAlign w:val="bottom"/>
          </w:tcPr>
          <w:p w14:paraId="7D06720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51</w:t>
            </w:r>
          </w:p>
        </w:tc>
        <w:tc>
          <w:tcPr>
            <w:tcW w:w="833" w:type="pct"/>
            <w:tcBorders>
              <w:left w:val="single" w:sz="8" w:space="0" w:color="008000"/>
            </w:tcBorders>
            <w:shd w:val="clear" w:color="auto" w:fill="auto"/>
            <w:vAlign w:val="center"/>
          </w:tcPr>
          <w:p w14:paraId="7B510C5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15-19</w:t>
            </w:r>
          </w:p>
        </w:tc>
        <w:tc>
          <w:tcPr>
            <w:tcW w:w="833" w:type="pct"/>
            <w:shd w:val="clear" w:color="auto" w:fill="auto"/>
          </w:tcPr>
          <w:p w14:paraId="6F5386C6"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32,5</w:t>
            </w:r>
          </w:p>
        </w:tc>
        <w:tc>
          <w:tcPr>
            <w:tcW w:w="834" w:type="pct"/>
            <w:shd w:val="clear" w:color="auto" w:fill="auto"/>
          </w:tcPr>
          <w:p w14:paraId="72664F0A"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55</w:t>
            </w:r>
          </w:p>
        </w:tc>
      </w:tr>
      <w:tr w:rsidR="00D72536" w:rsidRPr="00D72536" w14:paraId="64040702" w14:textId="77777777" w:rsidTr="00115346">
        <w:trPr>
          <w:trHeight w:val="300"/>
        </w:trPr>
        <w:tc>
          <w:tcPr>
            <w:tcW w:w="833" w:type="pct"/>
            <w:shd w:val="clear" w:color="auto" w:fill="auto"/>
            <w:vAlign w:val="center"/>
          </w:tcPr>
          <w:p w14:paraId="616813B2"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20-24</w:t>
            </w:r>
          </w:p>
        </w:tc>
        <w:tc>
          <w:tcPr>
            <w:tcW w:w="833" w:type="pct"/>
            <w:shd w:val="clear" w:color="auto" w:fill="auto"/>
            <w:vAlign w:val="bottom"/>
          </w:tcPr>
          <w:p w14:paraId="70C87A0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61,7</w:t>
            </w:r>
          </w:p>
        </w:tc>
        <w:tc>
          <w:tcPr>
            <w:tcW w:w="834" w:type="pct"/>
            <w:tcBorders>
              <w:right w:val="single" w:sz="8" w:space="0" w:color="008000"/>
            </w:tcBorders>
            <w:shd w:val="clear" w:color="auto" w:fill="auto"/>
            <w:vAlign w:val="bottom"/>
          </w:tcPr>
          <w:p w14:paraId="55FDC9F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46</w:t>
            </w:r>
          </w:p>
        </w:tc>
        <w:tc>
          <w:tcPr>
            <w:tcW w:w="833" w:type="pct"/>
            <w:tcBorders>
              <w:left w:val="single" w:sz="8" w:space="0" w:color="008000"/>
            </w:tcBorders>
            <w:shd w:val="clear" w:color="auto" w:fill="auto"/>
            <w:vAlign w:val="center"/>
          </w:tcPr>
          <w:p w14:paraId="0438D7FB"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20-24</w:t>
            </w:r>
          </w:p>
        </w:tc>
        <w:tc>
          <w:tcPr>
            <w:tcW w:w="833" w:type="pct"/>
            <w:shd w:val="clear" w:color="auto" w:fill="auto"/>
          </w:tcPr>
          <w:p w14:paraId="13C258DB"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33,5</w:t>
            </w:r>
          </w:p>
        </w:tc>
        <w:tc>
          <w:tcPr>
            <w:tcW w:w="834" w:type="pct"/>
            <w:shd w:val="clear" w:color="auto" w:fill="auto"/>
          </w:tcPr>
          <w:p w14:paraId="21D7848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51</w:t>
            </w:r>
          </w:p>
        </w:tc>
      </w:tr>
      <w:tr w:rsidR="00D72536" w:rsidRPr="00D72536" w14:paraId="1B7DA2BE" w14:textId="77777777" w:rsidTr="00115346">
        <w:trPr>
          <w:trHeight w:val="300"/>
        </w:trPr>
        <w:tc>
          <w:tcPr>
            <w:tcW w:w="833" w:type="pct"/>
            <w:shd w:val="clear" w:color="auto" w:fill="auto"/>
            <w:vAlign w:val="center"/>
          </w:tcPr>
          <w:p w14:paraId="098DBB03"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25-29</w:t>
            </w:r>
          </w:p>
        </w:tc>
        <w:tc>
          <w:tcPr>
            <w:tcW w:w="833" w:type="pct"/>
            <w:shd w:val="clear" w:color="auto" w:fill="auto"/>
            <w:vAlign w:val="bottom"/>
          </w:tcPr>
          <w:p w14:paraId="1D4C090E"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50,0</w:t>
            </w:r>
          </w:p>
        </w:tc>
        <w:tc>
          <w:tcPr>
            <w:tcW w:w="834" w:type="pct"/>
            <w:tcBorders>
              <w:right w:val="single" w:sz="8" w:space="0" w:color="008000"/>
            </w:tcBorders>
            <w:shd w:val="clear" w:color="auto" w:fill="auto"/>
            <w:vAlign w:val="bottom"/>
          </w:tcPr>
          <w:p w14:paraId="090422F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42</w:t>
            </w:r>
          </w:p>
        </w:tc>
        <w:tc>
          <w:tcPr>
            <w:tcW w:w="833" w:type="pct"/>
            <w:tcBorders>
              <w:left w:val="single" w:sz="8" w:space="0" w:color="008000"/>
            </w:tcBorders>
            <w:shd w:val="clear" w:color="auto" w:fill="auto"/>
            <w:vAlign w:val="center"/>
          </w:tcPr>
          <w:p w14:paraId="7EBD74FA"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25-29</w:t>
            </w:r>
          </w:p>
        </w:tc>
        <w:tc>
          <w:tcPr>
            <w:tcW w:w="833" w:type="pct"/>
            <w:shd w:val="clear" w:color="auto" w:fill="auto"/>
          </w:tcPr>
          <w:p w14:paraId="453D9D92"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26,3</w:t>
            </w:r>
          </w:p>
        </w:tc>
        <w:tc>
          <w:tcPr>
            <w:tcW w:w="834" w:type="pct"/>
            <w:shd w:val="clear" w:color="auto" w:fill="auto"/>
          </w:tcPr>
          <w:p w14:paraId="67D2C28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46</w:t>
            </w:r>
          </w:p>
        </w:tc>
      </w:tr>
      <w:tr w:rsidR="00D72536" w:rsidRPr="00D72536" w14:paraId="30918484" w14:textId="77777777" w:rsidTr="00115346">
        <w:trPr>
          <w:trHeight w:val="300"/>
        </w:trPr>
        <w:tc>
          <w:tcPr>
            <w:tcW w:w="833" w:type="pct"/>
            <w:shd w:val="clear" w:color="auto" w:fill="auto"/>
            <w:vAlign w:val="center"/>
          </w:tcPr>
          <w:p w14:paraId="3DD90381"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30-34</w:t>
            </w:r>
          </w:p>
        </w:tc>
        <w:tc>
          <w:tcPr>
            <w:tcW w:w="833" w:type="pct"/>
            <w:shd w:val="clear" w:color="auto" w:fill="auto"/>
            <w:vAlign w:val="bottom"/>
          </w:tcPr>
          <w:p w14:paraId="4968335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36,4</w:t>
            </w:r>
          </w:p>
        </w:tc>
        <w:tc>
          <w:tcPr>
            <w:tcW w:w="834" w:type="pct"/>
            <w:tcBorders>
              <w:right w:val="single" w:sz="8" w:space="0" w:color="008000"/>
            </w:tcBorders>
            <w:shd w:val="clear" w:color="auto" w:fill="auto"/>
            <w:vAlign w:val="bottom"/>
          </w:tcPr>
          <w:p w14:paraId="3D869BB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37</w:t>
            </w:r>
          </w:p>
        </w:tc>
        <w:tc>
          <w:tcPr>
            <w:tcW w:w="833" w:type="pct"/>
            <w:tcBorders>
              <w:left w:val="single" w:sz="8" w:space="0" w:color="008000"/>
            </w:tcBorders>
            <w:shd w:val="clear" w:color="auto" w:fill="auto"/>
            <w:vAlign w:val="center"/>
          </w:tcPr>
          <w:p w14:paraId="7011D3F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30-34</w:t>
            </w:r>
          </w:p>
        </w:tc>
        <w:tc>
          <w:tcPr>
            <w:tcW w:w="833" w:type="pct"/>
            <w:shd w:val="clear" w:color="auto" w:fill="auto"/>
          </w:tcPr>
          <w:p w14:paraId="76FE766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19,4</w:t>
            </w:r>
          </w:p>
        </w:tc>
        <w:tc>
          <w:tcPr>
            <w:tcW w:w="834" w:type="pct"/>
            <w:shd w:val="clear" w:color="auto" w:fill="auto"/>
          </w:tcPr>
          <w:p w14:paraId="1B12855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41</w:t>
            </w:r>
          </w:p>
        </w:tc>
      </w:tr>
      <w:tr w:rsidR="00D72536" w:rsidRPr="00D72536" w14:paraId="7B57A14F" w14:textId="77777777" w:rsidTr="00115346">
        <w:trPr>
          <w:trHeight w:val="300"/>
        </w:trPr>
        <w:tc>
          <w:tcPr>
            <w:tcW w:w="833" w:type="pct"/>
            <w:shd w:val="clear" w:color="auto" w:fill="auto"/>
            <w:vAlign w:val="center"/>
          </w:tcPr>
          <w:p w14:paraId="59957ABE"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35-39</w:t>
            </w:r>
          </w:p>
        </w:tc>
        <w:tc>
          <w:tcPr>
            <w:tcW w:w="833" w:type="pct"/>
            <w:shd w:val="clear" w:color="auto" w:fill="auto"/>
            <w:vAlign w:val="bottom"/>
          </w:tcPr>
          <w:p w14:paraId="5692AD1B"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27,3</w:t>
            </w:r>
          </w:p>
        </w:tc>
        <w:tc>
          <w:tcPr>
            <w:tcW w:w="834" w:type="pct"/>
            <w:tcBorders>
              <w:right w:val="single" w:sz="8" w:space="0" w:color="008000"/>
            </w:tcBorders>
            <w:shd w:val="clear" w:color="auto" w:fill="auto"/>
            <w:vAlign w:val="bottom"/>
          </w:tcPr>
          <w:p w14:paraId="5407B5BB"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33</w:t>
            </w:r>
          </w:p>
        </w:tc>
        <w:tc>
          <w:tcPr>
            <w:tcW w:w="833" w:type="pct"/>
            <w:tcBorders>
              <w:left w:val="single" w:sz="8" w:space="0" w:color="008000"/>
            </w:tcBorders>
            <w:shd w:val="clear" w:color="auto" w:fill="auto"/>
            <w:vAlign w:val="center"/>
          </w:tcPr>
          <w:p w14:paraId="46D3A75E"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35-39</w:t>
            </w:r>
          </w:p>
        </w:tc>
        <w:tc>
          <w:tcPr>
            <w:tcW w:w="833" w:type="pct"/>
            <w:shd w:val="clear" w:color="auto" w:fill="auto"/>
          </w:tcPr>
          <w:p w14:paraId="40C89239"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14,2</w:t>
            </w:r>
          </w:p>
        </w:tc>
        <w:tc>
          <w:tcPr>
            <w:tcW w:w="834" w:type="pct"/>
            <w:shd w:val="clear" w:color="auto" w:fill="auto"/>
          </w:tcPr>
          <w:p w14:paraId="699E5CB6"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36</w:t>
            </w:r>
          </w:p>
        </w:tc>
      </w:tr>
      <w:tr w:rsidR="00D72536" w:rsidRPr="00D72536" w14:paraId="1349E0DE" w14:textId="77777777" w:rsidTr="00115346">
        <w:trPr>
          <w:trHeight w:val="300"/>
        </w:trPr>
        <w:tc>
          <w:tcPr>
            <w:tcW w:w="833" w:type="pct"/>
            <w:shd w:val="clear" w:color="auto" w:fill="auto"/>
            <w:vAlign w:val="center"/>
          </w:tcPr>
          <w:p w14:paraId="6BD442D1"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40-44</w:t>
            </w:r>
          </w:p>
        </w:tc>
        <w:tc>
          <w:tcPr>
            <w:tcW w:w="833" w:type="pct"/>
            <w:shd w:val="clear" w:color="auto" w:fill="auto"/>
            <w:vAlign w:val="bottom"/>
          </w:tcPr>
          <w:p w14:paraId="4914342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14,5</w:t>
            </w:r>
          </w:p>
        </w:tc>
        <w:tc>
          <w:tcPr>
            <w:tcW w:w="834" w:type="pct"/>
            <w:tcBorders>
              <w:right w:val="single" w:sz="8" w:space="0" w:color="008000"/>
            </w:tcBorders>
            <w:shd w:val="clear" w:color="auto" w:fill="auto"/>
            <w:vAlign w:val="bottom"/>
          </w:tcPr>
          <w:p w14:paraId="2721891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29</w:t>
            </w:r>
          </w:p>
        </w:tc>
        <w:tc>
          <w:tcPr>
            <w:tcW w:w="833" w:type="pct"/>
            <w:tcBorders>
              <w:left w:val="single" w:sz="8" w:space="0" w:color="008000"/>
            </w:tcBorders>
            <w:shd w:val="clear" w:color="auto" w:fill="auto"/>
            <w:vAlign w:val="center"/>
          </w:tcPr>
          <w:p w14:paraId="4C9632A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40-44</w:t>
            </w:r>
          </w:p>
        </w:tc>
        <w:tc>
          <w:tcPr>
            <w:tcW w:w="833" w:type="pct"/>
            <w:shd w:val="clear" w:color="auto" w:fill="auto"/>
          </w:tcPr>
          <w:p w14:paraId="3921A94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7,5</w:t>
            </w:r>
          </w:p>
        </w:tc>
        <w:tc>
          <w:tcPr>
            <w:tcW w:w="834" w:type="pct"/>
            <w:shd w:val="clear" w:color="auto" w:fill="auto"/>
          </w:tcPr>
          <w:p w14:paraId="5B66D6C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32</w:t>
            </w:r>
          </w:p>
        </w:tc>
      </w:tr>
      <w:tr w:rsidR="00D72536" w:rsidRPr="00D72536" w14:paraId="409DE512" w14:textId="77777777" w:rsidTr="00115346">
        <w:trPr>
          <w:trHeight w:val="300"/>
        </w:trPr>
        <w:tc>
          <w:tcPr>
            <w:tcW w:w="833" w:type="pct"/>
            <w:shd w:val="clear" w:color="auto" w:fill="auto"/>
            <w:vAlign w:val="center"/>
          </w:tcPr>
          <w:p w14:paraId="144458F4"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45-49</w:t>
            </w:r>
          </w:p>
        </w:tc>
        <w:tc>
          <w:tcPr>
            <w:tcW w:w="833" w:type="pct"/>
            <w:shd w:val="clear" w:color="auto" w:fill="auto"/>
            <w:vAlign w:val="bottom"/>
          </w:tcPr>
          <w:p w14:paraId="1D1533E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3,5</w:t>
            </w:r>
          </w:p>
        </w:tc>
        <w:tc>
          <w:tcPr>
            <w:tcW w:w="834" w:type="pct"/>
            <w:tcBorders>
              <w:right w:val="single" w:sz="8" w:space="0" w:color="008000"/>
            </w:tcBorders>
            <w:shd w:val="clear" w:color="auto" w:fill="auto"/>
            <w:vAlign w:val="bottom"/>
          </w:tcPr>
          <w:p w14:paraId="5173EACC"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25</w:t>
            </w:r>
          </w:p>
        </w:tc>
        <w:tc>
          <w:tcPr>
            <w:tcW w:w="833" w:type="pct"/>
            <w:tcBorders>
              <w:left w:val="single" w:sz="8" w:space="0" w:color="008000"/>
            </w:tcBorders>
            <w:shd w:val="clear" w:color="auto" w:fill="auto"/>
            <w:vAlign w:val="center"/>
          </w:tcPr>
          <w:p w14:paraId="6703667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45-49</w:t>
            </w:r>
          </w:p>
        </w:tc>
        <w:tc>
          <w:tcPr>
            <w:tcW w:w="833" w:type="pct"/>
            <w:shd w:val="clear" w:color="auto" w:fill="auto"/>
          </w:tcPr>
          <w:p w14:paraId="087E61E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2,0</w:t>
            </w:r>
          </w:p>
        </w:tc>
        <w:tc>
          <w:tcPr>
            <w:tcW w:w="834" w:type="pct"/>
            <w:shd w:val="clear" w:color="auto" w:fill="auto"/>
          </w:tcPr>
          <w:p w14:paraId="737DEA99"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27</w:t>
            </w:r>
          </w:p>
        </w:tc>
      </w:tr>
      <w:tr w:rsidR="00D72536" w:rsidRPr="00D72536" w14:paraId="0BA527C4" w14:textId="77777777" w:rsidTr="00115346">
        <w:trPr>
          <w:trHeight w:val="300"/>
        </w:trPr>
        <w:tc>
          <w:tcPr>
            <w:tcW w:w="833" w:type="pct"/>
            <w:shd w:val="clear" w:color="auto" w:fill="auto"/>
            <w:vAlign w:val="center"/>
          </w:tcPr>
          <w:p w14:paraId="0469B630"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50-54</w:t>
            </w:r>
          </w:p>
        </w:tc>
        <w:tc>
          <w:tcPr>
            <w:tcW w:w="833" w:type="pct"/>
            <w:shd w:val="clear" w:color="auto" w:fill="auto"/>
            <w:vAlign w:val="bottom"/>
          </w:tcPr>
          <w:p w14:paraId="667F105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1,4</w:t>
            </w:r>
          </w:p>
        </w:tc>
        <w:tc>
          <w:tcPr>
            <w:tcW w:w="834" w:type="pct"/>
            <w:tcBorders>
              <w:right w:val="single" w:sz="8" w:space="0" w:color="008000"/>
            </w:tcBorders>
            <w:shd w:val="clear" w:color="auto" w:fill="auto"/>
            <w:vAlign w:val="bottom"/>
          </w:tcPr>
          <w:p w14:paraId="33A2258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21</w:t>
            </w:r>
          </w:p>
        </w:tc>
        <w:tc>
          <w:tcPr>
            <w:tcW w:w="833" w:type="pct"/>
            <w:tcBorders>
              <w:left w:val="single" w:sz="8" w:space="0" w:color="008000"/>
            </w:tcBorders>
            <w:shd w:val="clear" w:color="auto" w:fill="auto"/>
            <w:vAlign w:val="center"/>
          </w:tcPr>
          <w:p w14:paraId="6E86A30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50-54</w:t>
            </w:r>
          </w:p>
        </w:tc>
        <w:tc>
          <w:tcPr>
            <w:tcW w:w="833" w:type="pct"/>
            <w:shd w:val="clear" w:color="auto" w:fill="auto"/>
          </w:tcPr>
          <w:p w14:paraId="3E292E7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0,8</w:t>
            </w:r>
          </w:p>
        </w:tc>
        <w:tc>
          <w:tcPr>
            <w:tcW w:w="834" w:type="pct"/>
            <w:shd w:val="clear" w:color="auto" w:fill="auto"/>
          </w:tcPr>
          <w:p w14:paraId="4CE86CD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23</w:t>
            </w:r>
          </w:p>
        </w:tc>
      </w:tr>
      <w:tr w:rsidR="00D72536" w:rsidRPr="00D72536" w14:paraId="7505B37F" w14:textId="77777777" w:rsidTr="00115346">
        <w:trPr>
          <w:trHeight w:val="300"/>
        </w:trPr>
        <w:tc>
          <w:tcPr>
            <w:tcW w:w="833" w:type="pct"/>
            <w:shd w:val="clear" w:color="auto" w:fill="auto"/>
            <w:vAlign w:val="center"/>
          </w:tcPr>
          <w:p w14:paraId="59F336A2"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55-59</w:t>
            </w:r>
          </w:p>
        </w:tc>
        <w:tc>
          <w:tcPr>
            <w:tcW w:w="833" w:type="pct"/>
            <w:shd w:val="clear" w:color="auto" w:fill="auto"/>
            <w:vAlign w:val="bottom"/>
          </w:tcPr>
          <w:p w14:paraId="6283DA0A"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1,3</w:t>
            </w:r>
          </w:p>
        </w:tc>
        <w:tc>
          <w:tcPr>
            <w:tcW w:w="834" w:type="pct"/>
            <w:tcBorders>
              <w:right w:val="single" w:sz="8" w:space="0" w:color="008000"/>
            </w:tcBorders>
            <w:shd w:val="clear" w:color="auto" w:fill="auto"/>
            <w:vAlign w:val="bottom"/>
          </w:tcPr>
          <w:p w14:paraId="77508EC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18</w:t>
            </w:r>
          </w:p>
        </w:tc>
        <w:tc>
          <w:tcPr>
            <w:tcW w:w="833" w:type="pct"/>
            <w:tcBorders>
              <w:left w:val="single" w:sz="8" w:space="0" w:color="008000"/>
            </w:tcBorders>
            <w:shd w:val="clear" w:color="auto" w:fill="auto"/>
            <w:vAlign w:val="center"/>
          </w:tcPr>
          <w:p w14:paraId="6881ECF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55-59</w:t>
            </w:r>
          </w:p>
        </w:tc>
        <w:tc>
          <w:tcPr>
            <w:tcW w:w="833" w:type="pct"/>
            <w:shd w:val="clear" w:color="auto" w:fill="auto"/>
          </w:tcPr>
          <w:p w14:paraId="5B6B973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499505A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19</w:t>
            </w:r>
          </w:p>
        </w:tc>
      </w:tr>
      <w:tr w:rsidR="00D72536" w:rsidRPr="00D72536" w14:paraId="2450D11F" w14:textId="77777777" w:rsidTr="00115346">
        <w:trPr>
          <w:trHeight w:val="300"/>
        </w:trPr>
        <w:tc>
          <w:tcPr>
            <w:tcW w:w="833" w:type="pct"/>
            <w:shd w:val="clear" w:color="auto" w:fill="auto"/>
            <w:vAlign w:val="center"/>
          </w:tcPr>
          <w:p w14:paraId="76C4104F"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60-64</w:t>
            </w:r>
          </w:p>
        </w:tc>
        <w:tc>
          <w:tcPr>
            <w:tcW w:w="833" w:type="pct"/>
            <w:shd w:val="clear" w:color="auto" w:fill="auto"/>
            <w:vAlign w:val="bottom"/>
          </w:tcPr>
          <w:p w14:paraId="5AB2AC9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1,3</w:t>
            </w:r>
          </w:p>
        </w:tc>
        <w:tc>
          <w:tcPr>
            <w:tcW w:w="834" w:type="pct"/>
            <w:tcBorders>
              <w:right w:val="single" w:sz="8" w:space="0" w:color="008000"/>
            </w:tcBorders>
            <w:shd w:val="clear" w:color="auto" w:fill="auto"/>
            <w:vAlign w:val="bottom"/>
          </w:tcPr>
          <w:p w14:paraId="139433D7"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15</w:t>
            </w:r>
          </w:p>
        </w:tc>
        <w:tc>
          <w:tcPr>
            <w:tcW w:w="833" w:type="pct"/>
            <w:tcBorders>
              <w:left w:val="single" w:sz="8" w:space="0" w:color="008000"/>
            </w:tcBorders>
            <w:shd w:val="clear" w:color="auto" w:fill="auto"/>
            <w:vAlign w:val="center"/>
          </w:tcPr>
          <w:p w14:paraId="379572C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60-64</w:t>
            </w:r>
          </w:p>
        </w:tc>
        <w:tc>
          <w:tcPr>
            <w:tcW w:w="833" w:type="pct"/>
            <w:shd w:val="clear" w:color="auto" w:fill="auto"/>
          </w:tcPr>
          <w:p w14:paraId="7B622F69"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00C1C28A"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15</w:t>
            </w:r>
          </w:p>
        </w:tc>
      </w:tr>
      <w:tr w:rsidR="00D72536" w:rsidRPr="00D72536" w14:paraId="72664DCA" w14:textId="77777777" w:rsidTr="00115346">
        <w:trPr>
          <w:trHeight w:val="300"/>
        </w:trPr>
        <w:tc>
          <w:tcPr>
            <w:tcW w:w="833" w:type="pct"/>
            <w:shd w:val="clear" w:color="auto" w:fill="auto"/>
            <w:vAlign w:val="center"/>
          </w:tcPr>
          <w:p w14:paraId="4B735373"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65-69</w:t>
            </w:r>
          </w:p>
        </w:tc>
        <w:tc>
          <w:tcPr>
            <w:tcW w:w="833" w:type="pct"/>
            <w:shd w:val="clear" w:color="auto" w:fill="auto"/>
            <w:vAlign w:val="bottom"/>
          </w:tcPr>
          <w:p w14:paraId="2255492B"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1,7</w:t>
            </w:r>
          </w:p>
        </w:tc>
        <w:tc>
          <w:tcPr>
            <w:tcW w:w="834" w:type="pct"/>
            <w:tcBorders>
              <w:right w:val="single" w:sz="8" w:space="0" w:color="008000"/>
            </w:tcBorders>
            <w:shd w:val="clear" w:color="auto" w:fill="auto"/>
            <w:vAlign w:val="bottom"/>
          </w:tcPr>
          <w:p w14:paraId="3CE4C572"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13</w:t>
            </w:r>
          </w:p>
        </w:tc>
        <w:tc>
          <w:tcPr>
            <w:tcW w:w="833" w:type="pct"/>
            <w:tcBorders>
              <w:left w:val="single" w:sz="8" w:space="0" w:color="008000"/>
            </w:tcBorders>
            <w:shd w:val="clear" w:color="auto" w:fill="auto"/>
            <w:vAlign w:val="center"/>
          </w:tcPr>
          <w:p w14:paraId="2F77838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65-69</w:t>
            </w:r>
          </w:p>
        </w:tc>
        <w:tc>
          <w:tcPr>
            <w:tcW w:w="833" w:type="pct"/>
            <w:shd w:val="clear" w:color="auto" w:fill="auto"/>
          </w:tcPr>
          <w:p w14:paraId="16FE8999"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3DF17019"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12</w:t>
            </w:r>
          </w:p>
        </w:tc>
      </w:tr>
      <w:tr w:rsidR="00D72536" w:rsidRPr="00D72536" w14:paraId="547F716F" w14:textId="77777777" w:rsidTr="00115346">
        <w:trPr>
          <w:trHeight w:val="300"/>
        </w:trPr>
        <w:tc>
          <w:tcPr>
            <w:tcW w:w="833" w:type="pct"/>
            <w:shd w:val="clear" w:color="auto" w:fill="auto"/>
            <w:vAlign w:val="center"/>
          </w:tcPr>
          <w:p w14:paraId="59C32F00"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70-74</w:t>
            </w:r>
          </w:p>
        </w:tc>
        <w:tc>
          <w:tcPr>
            <w:tcW w:w="833" w:type="pct"/>
            <w:shd w:val="clear" w:color="auto" w:fill="auto"/>
            <w:vAlign w:val="bottom"/>
          </w:tcPr>
          <w:p w14:paraId="2FEEED24"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1,9</w:t>
            </w:r>
          </w:p>
        </w:tc>
        <w:tc>
          <w:tcPr>
            <w:tcW w:w="834" w:type="pct"/>
            <w:tcBorders>
              <w:right w:val="single" w:sz="8" w:space="0" w:color="008000"/>
            </w:tcBorders>
            <w:shd w:val="clear" w:color="auto" w:fill="auto"/>
            <w:vAlign w:val="bottom"/>
          </w:tcPr>
          <w:p w14:paraId="7C0C4542"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11</w:t>
            </w:r>
          </w:p>
        </w:tc>
        <w:tc>
          <w:tcPr>
            <w:tcW w:w="833" w:type="pct"/>
            <w:tcBorders>
              <w:left w:val="single" w:sz="8" w:space="0" w:color="008000"/>
            </w:tcBorders>
            <w:shd w:val="clear" w:color="auto" w:fill="auto"/>
            <w:vAlign w:val="center"/>
          </w:tcPr>
          <w:p w14:paraId="7DC9E43E"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70-74</w:t>
            </w:r>
          </w:p>
        </w:tc>
        <w:tc>
          <w:tcPr>
            <w:tcW w:w="833" w:type="pct"/>
            <w:shd w:val="clear" w:color="auto" w:fill="auto"/>
          </w:tcPr>
          <w:p w14:paraId="454614A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2C9468A6"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10</w:t>
            </w:r>
          </w:p>
        </w:tc>
      </w:tr>
      <w:tr w:rsidR="00D72536" w:rsidRPr="00D72536" w14:paraId="3E6A8376" w14:textId="77777777" w:rsidTr="00115346">
        <w:trPr>
          <w:trHeight w:val="300"/>
        </w:trPr>
        <w:tc>
          <w:tcPr>
            <w:tcW w:w="833" w:type="pct"/>
            <w:shd w:val="clear" w:color="auto" w:fill="auto"/>
            <w:vAlign w:val="center"/>
          </w:tcPr>
          <w:p w14:paraId="382F93F4"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75-79</w:t>
            </w:r>
          </w:p>
        </w:tc>
        <w:tc>
          <w:tcPr>
            <w:tcW w:w="833" w:type="pct"/>
            <w:shd w:val="clear" w:color="auto" w:fill="auto"/>
            <w:vAlign w:val="bottom"/>
          </w:tcPr>
          <w:p w14:paraId="144BCF4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1,8</w:t>
            </w:r>
          </w:p>
        </w:tc>
        <w:tc>
          <w:tcPr>
            <w:tcW w:w="834" w:type="pct"/>
            <w:tcBorders>
              <w:right w:val="single" w:sz="8" w:space="0" w:color="008000"/>
            </w:tcBorders>
            <w:shd w:val="clear" w:color="auto" w:fill="auto"/>
            <w:vAlign w:val="bottom"/>
          </w:tcPr>
          <w:p w14:paraId="3B5CD11B"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9</w:t>
            </w:r>
          </w:p>
        </w:tc>
        <w:tc>
          <w:tcPr>
            <w:tcW w:w="833" w:type="pct"/>
            <w:tcBorders>
              <w:left w:val="single" w:sz="8" w:space="0" w:color="008000"/>
            </w:tcBorders>
            <w:shd w:val="clear" w:color="auto" w:fill="auto"/>
            <w:vAlign w:val="center"/>
          </w:tcPr>
          <w:p w14:paraId="72CED69E"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75-79</w:t>
            </w:r>
          </w:p>
        </w:tc>
        <w:tc>
          <w:tcPr>
            <w:tcW w:w="833" w:type="pct"/>
            <w:shd w:val="clear" w:color="auto" w:fill="auto"/>
          </w:tcPr>
          <w:p w14:paraId="040C5520"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682A6B7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8</w:t>
            </w:r>
          </w:p>
        </w:tc>
      </w:tr>
      <w:tr w:rsidR="00D72536" w:rsidRPr="00D72536" w14:paraId="37F9960C" w14:textId="77777777" w:rsidTr="00115346">
        <w:trPr>
          <w:trHeight w:val="300"/>
        </w:trPr>
        <w:tc>
          <w:tcPr>
            <w:tcW w:w="833" w:type="pct"/>
            <w:shd w:val="clear" w:color="auto" w:fill="auto"/>
            <w:vAlign w:val="center"/>
          </w:tcPr>
          <w:p w14:paraId="174212AC"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80-84</w:t>
            </w:r>
          </w:p>
        </w:tc>
        <w:tc>
          <w:tcPr>
            <w:tcW w:w="833" w:type="pct"/>
            <w:shd w:val="clear" w:color="auto" w:fill="auto"/>
            <w:vAlign w:val="bottom"/>
          </w:tcPr>
          <w:p w14:paraId="5CD30AED"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1,8</w:t>
            </w:r>
          </w:p>
        </w:tc>
        <w:tc>
          <w:tcPr>
            <w:tcW w:w="834" w:type="pct"/>
            <w:tcBorders>
              <w:right w:val="single" w:sz="8" w:space="0" w:color="008000"/>
            </w:tcBorders>
            <w:shd w:val="clear" w:color="auto" w:fill="auto"/>
            <w:vAlign w:val="bottom"/>
          </w:tcPr>
          <w:p w14:paraId="27571A0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6</w:t>
            </w:r>
          </w:p>
        </w:tc>
        <w:tc>
          <w:tcPr>
            <w:tcW w:w="833" w:type="pct"/>
            <w:tcBorders>
              <w:left w:val="single" w:sz="8" w:space="0" w:color="008000"/>
            </w:tcBorders>
            <w:shd w:val="clear" w:color="auto" w:fill="auto"/>
            <w:vAlign w:val="center"/>
          </w:tcPr>
          <w:p w14:paraId="538DBEDA"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80-84</w:t>
            </w:r>
          </w:p>
        </w:tc>
        <w:tc>
          <w:tcPr>
            <w:tcW w:w="833" w:type="pct"/>
            <w:shd w:val="clear" w:color="auto" w:fill="auto"/>
          </w:tcPr>
          <w:p w14:paraId="7FDFA242"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4160C1DA"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7</w:t>
            </w:r>
          </w:p>
        </w:tc>
      </w:tr>
      <w:tr w:rsidR="00D72536" w:rsidRPr="00D72536" w14:paraId="0CC002D2" w14:textId="77777777" w:rsidTr="00115346">
        <w:trPr>
          <w:trHeight w:val="300"/>
        </w:trPr>
        <w:tc>
          <w:tcPr>
            <w:tcW w:w="833" w:type="pct"/>
            <w:shd w:val="clear" w:color="auto" w:fill="auto"/>
            <w:vAlign w:val="center"/>
          </w:tcPr>
          <w:p w14:paraId="7CFE19A1" w14:textId="77777777" w:rsidR="00D72536" w:rsidRPr="00D72536" w:rsidRDefault="00D72536" w:rsidP="00D72536">
            <w:pPr>
              <w:spacing w:before="100" w:beforeAutospacing="1" w:after="100" w:afterAutospacing="1"/>
              <w:jc w:val="center"/>
              <w:rPr>
                <w:rFonts w:ascii="Arial" w:hAnsi="Arial" w:cs="Arial"/>
                <w:lang w:eastAsia="fr-FR"/>
              </w:rPr>
            </w:pPr>
            <w:r w:rsidRPr="00D72536">
              <w:rPr>
                <w:rFonts w:ascii="Arial" w:hAnsi="Arial" w:cs="Arial"/>
                <w:lang w:eastAsia="fr-FR"/>
              </w:rPr>
              <w:t>85+</w:t>
            </w:r>
          </w:p>
        </w:tc>
        <w:tc>
          <w:tcPr>
            <w:tcW w:w="833" w:type="pct"/>
            <w:shd w:val="clear" w:color="auto" w:fill="auto"/>
            <w:vAlign w:val="bottom"/>
          </w:tcPr>
          <w:p w14:paraId="3B2A3C6F"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1,8</w:t>
            </w:r>
          </w:p>
        </w:tc>
        <w:tc>
          <w:tcPr>
            <w:tcW w:w="834" w:type="pct"/>
            <w:tcBorders>
              <w:bottom w:val="single" w:sz="12" w:space="0" w:color="008000"/>
              <w:right w:val="single" w:sz="8" w:space="0" w:color="008000"/>
            </w:tcBorders>
            <w:shd w:val="clear" w:color="auto" w:fill="auto"/>
            <w:vAlign w:val="bottom"/>
          </w:tcPr>
          <w:p w14:paraId="5E5D4D68"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w:t>
            </w:r>
          </w:p>
        </w:tc>
        <w:tc>
          <w:tcPr>
            <w:tcW w:w="833" w:type="pct"/>
            <w:tcBorders>
              <w:left w:val="single" w:sz="8" w:space="0" w:color="008000"/>
            </w:tcBorders>
            <w:shd w:val="clear" w:color="auto" w:fill="auto"/>
            <w:vAlign w:val="center"/>
          </w:tcPr>
          <w:p w14:paraId="3C6F7BE1"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85+</w:t>
            </w:r>
          </w:p>
        </w:tc>
        <w:tc>
          <w:tcPr>
            <w:tcW w:w="833" w:type="pct"/>
            <w:shd w:val="clear" w:color="auto" w:fill="auto"/>
          </w:tcPr>
          <w:p w14:paraId="1BF02C33" w14:textId="77777777" w:rsidR="00D72536" w:rsidRPr="00D72536" w:rsidRDefault="00D72536" w:rsidP="00D72536">
            <w:pPr>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0,6</w:t>
            </w:r>
          </w:p>
        </w:tc>
        <w:tc>
          <w:tcPr>
            <w:tcW w:w="834" w:type="pct"/>
            <w:shd w:val="clear" w:color="auto" w:fill="auto"/>
          </w:tcPr>
          <w:p w14:paraId="67DC629D" w14:textId="77777777" w:rsidR="00D72536" w:rsidRPr="00D72536" w:rsidRDefault="00D72536" w:rsidP="00D72536">
            <w:pPr>
              <w:keepNext/>
              <w:spacing w:before="100" w:beforeAutospacing="1" w:after="100" w:afterAutospacing="1"/>
              <w:jc w:val="center"/>
              <w:rPr>
                <w:rFonts w:ascii="Arial" w:hAnsi="Arial" w:cs="Arial"/>
                <w:color w:val="000000"/>
                <w:lang w:eastAsia="fr-FR"/>
              </w:rPr>
            </w:pPr>
            <w:r w:rsidRPr="00D72536">
              <w:rPr>
                <w:rFonts w:ascii="Arial" w:hAnsi="Arial" w:cs="Arial"/>
                <w:color w:val="000000"/>
                <w:lang w:eastAsia="fr-FR"/>
              </w:rPr>
              <w:t>3</w:t>
            </w:r>
          </w:p>
        </w:tc>
      </w:tr>
    </w:tbl>
    <w:p w14:paraId="3D38E757" w14:textId="3407A321" w:rsidR="00D72536" w:rsidRPr="00D72536" w:rsidRDefault="00D72536" w:rsidP="00D72536">
      <w:pPr>
        <w:tabs>
          <w:tab w:val="left" w:pos="0"/>
          <w:tab w:val="left" w:pos="142"/>
          <w:tab w:val="left" w:pos="284"/>
        </w:tabs>
        <w:spacing w:after="60" w:line="276" w:lineRule="auto"/>
        <w:rPr>
          <w:rFonts w:ascii="Arial" w:eastAsia="Times New Roman" w:hAnsi="Arial" w:cs="Arial"/>
          <w:kern w:val="28"/>
          <w:sz w:val="20"/>
          <w:szCs w:val="20"/>
          <w:lang w:eastAsia="fr-FR"/>
        </w:rPr>
      </w:pPr>
      <w:r w:rsidRPr="00D72536">
        <w:rPr>
          <w:rFonts w:eastAsia="Times New Roman" w:cs="Times New Roman"/>
          <w:b/>
          <w:bCs/>
          <w:kern w:val="28"/>
          <w:sz w:val="20"/>
          <w:szCs w:val="26"/>
          <w:lang w:eastAsia="fr-FR"/>
        </w:rPr>
        <w:br w:type="page"/>
      </w:r>
      <w:r w:rsidRPr="00D72536">
        <w:rPr>
          <w:rFonts w:ascii="Arial" w:eastAsia="Times New Roman" w:hAnsi="Arial" w:cs="Arial"/>
          <w:b/>
          <w:bCs/>
          <w:sz w:val="20"/>
          <w:szCs w:val="20"/>
          <w:lang w:eastAsia="fr-FR"/>
        </w:rPr>
        <w:lastRenderedPageBreak/>
        <w:t xml:space="preserve">Tabela </w:t>
      </w:r>
      <w:r w:rsidR="00422D75">
        <w:rPr>
          <w:rFonts w:ascii="Arial" w:eastAsia="Times New Roman" w:hAnsi="Arial" w:cs="Arial"/>
          <w:b/>
          <w:bCs/>
          <w:sz w:val="20"/>
          <w:szCs w:val="20"/>
          <w:lang w:eastAsia="fr-FR"/>
        </w:rPr>
        <w:t>4</w:t>
      </w:r>
      <w:r w:rsidRPr="00D72536">
        <w:rPr>
          <w:rFonts w:ascii="Arial" w:eastAsia="Times New Roman" w:hAnsi="Arial" w:cs="Arial"/>
          <w:b/>
          <w:bCs/>
          <w:sz w:val="20"/>
          <w:szCs w:val="20"/>
          <w:lang w:eastAsia="fr-FR"/>
        </w:rPr>
        <w:t>, material suplementar. Estimativas do custo direto com a terapêutica farmacológica da esquizofrenia em Portugal Continental, 2015.</w:t>
      </w:r>
    </w:p>
    <w:p w14:paraId="4B0FBF29" w14:textId="77777777" w:rsidR="00D72536" w:rsidRPr="00D72536" w:rsidRDefault="00D72536" w:rsidP="00D72536">
      <w:pPr>
        <w:rPr>
          <w:rFonts w:ascii="Calibri" w:eastAsia="Times New Roman" w:hAnsi="Calibri" w:cs="Times New Roman"/>
          <w:b/>
          <w:bCs/>
          <w:kern w:val="28"/>
          <w:sz w:val="24"/>
          <w:szCs w:val="26"/>
          <w:lang w:eastAsia="fr-FR"/>
        </w:rPr>
      </w:pPr>
    </w:p>
    <w:tbl>
      <w:tblPr>
        <w:tblStyle w:val="Tabelasimples117"/>
        <w:tblW w:w="9498" w:type="dxa"/>
        <w:tblLook w:val="04A0" w:firstRow="1" w:lastRow="0" w:firstColumn="1" w:lastColumn="0" w:noHBand="0" w:noVBand="1"/>
      </w:tblPr>
      <w:tblGrid>
        <w:gridCol w:w="2374"/>
        <w:gridCol w:w="1652"/>
        <w:gridCol w:w="1762"/>
        <w:gridCol w:w="1615"/>
        <w:gridCol w:w="2095"/>
      </w:tblGrid>
      <w:tr w:rsidR="00D72536" w:rsidRPr="00D72536" w14:paraId="5CCBB1DE" w14:textId="77777777" w:rsidTr="00115346">
        <w:trPr>
          <w:cnfStyle w:val="100000000000" w:firstRow="1" w:lastRow="0" w:firstColumn="0" w:lastColumn="0" w:oddVBand="0" w:evenVBand="0" w:oddHBand="0" w:evenHBand="0" w:firstRowFirstColumn="0" w:firstRowLastColumn="0" w:lastRowFirstColumn="0" w:lastRowLastColumn="0"/>
          <w:trHeight w:val="630"/>
        </w:trPr>
        <w:tc>
          <w:tcPr>
            <w:tcW w:w="2374" w:type="dxa"/>
            <w:noWrap/>
            <w:hideMark/>
          </w:tcPr>
          <w:p w14:paraId="36255778" w14:textId="77777777" w:rsidR="00D72536" w:rsidRPr="00D72536" w:rsidRDefault="00D72536" w:rsidP="00D72536">
            <w:pPr>
              <w:spacing w:after="100" w:afterAutospacing="1" w:line="240" w:lineRule="auto"/>
              <w:jc w:val="center"/>
              <w:rPr>
                <w:rFonts w:ascii="Arial" w:hAnsi="Arial" w:cs="Arial"/>
                <w:lang w:eastAsia="fr-FR"/>
              </w:rPr>
            </w:pPr>
          </w:p>
        </w:tc>
        <w:tc>
          <w:tcPr>
            <w:tcW w:w="1652" w:type="dxa"/>
            <w:hideMark/>
          </w:tcPr>
          <w:p w14:paraId="51996CB0" w14:textId="77777777" w:rsidR="00D72536" w:rsidRPr="00D72536" w:rsidRDefault="00D72536" w:rsidP="00D72536">
            <w:pPr>
              <w:spacing w:after="100" w:afterAutospacing="1" w:line="240" w:lineRule="auto"/>
              <w:jc w:val="center"/>
              <w:rPr>
                <w:rFonts w:ascii="Arial" w:hAnsi="Arial" w:cs="Arial"/>
                <w:b/>
                <w:lang w:eastAsia="fr-FR"/>
              </w:rPr>
            </w:pPr>
            <w:r w:rsidRPr="00D72536">
              <w:rPr>
                <w:rFonts w:ascii="Arial" w:hAnsi="Arial" w:cs="Arial"/>
                <w:b/>
                <w:lang w:eastAsia="fr-FR"/>
              </w:rPr>
              <w:t xml:space="preserve">% doentes em tratamento </w:t>
            </w:r>
          </w:p>
        </w:tc>
        <w:tc>
          <w:tcPr>
            <w:tcW w:w="1762" w:type="dxa"/>
            <w:hideMark/>
          </w:tcPr>
          <w:p w14:paraId="05EB6A77" w14:textId="77777777" w:rsidR="00D72536" w:rsidRPr="00D72536" w:rsidRDefault="00D72536" w:rsidP="00D72536">
            <w:pPr>
              <w:spacing w:after="100" w:afterAutospacing="1" w:line="240" w:lineRule="auto"/>
              <w:jc w:val="center"/>
              <w:rPr>
                <w:rFonts w:ascii="Arial" w:hAnsi="Arial" w:cs="Arial"/>
                <w:b/>
                <w:lang w:eastAsia="fr-FR"/>
              </w:rPr>
            </w:pPr>
            <w:r w:rsidRPr="00D72536">
              <w:rPr>
                <w:rFonts w:ascii="Arial" w:hAnsi="Arial" w:cs="Arial"/>
                <w:b/>
                <w:lang w:eastAsia="fr-FR"/>
              </w:rPr>
              <w:t>Nº doentes</w:t>
            </w:r>
          </w:p>
        </w:tc>
        <w:tc>
          <w:tcPr>
            <w:tcW w:w="1615" w:type="dxa"/>
            <w:hideMark/>
          </w:tcPr>
          <w:p w14:paraId="3360187E" w14:textId="77777777" w:rsidR="00D72536" w:rsidRPr="00D72536" w:rsidRDefault="00D72536" w:rsidP="00D72536">
            <w:pPr>
              <w:spacing w:after="100" w:afterAutospacing="1" w:line="240" w:lineRule="auto"/>
              <w:jc w:val="center"/>
              <w:rPr>
                <w:rFonts w:ascii="Arial" w:hAnsi="Arial" w:cs="Arial"/>
                <w:b/>
                <w:lang w:eastAsia="fr-FR"/>
              </w:rPr>
            </w:pPr>
            <w:r w:rsidRPr="00D72536">
              <w:rPr>
                <w:rFonts w:ascii="Arial" w:hAnsi="Arial" w:cs="Arial"/>
                <w:b/>
                <w:lang w:eastAsia="fr-FR"/>
              </w:rPr>
              <w:t>Custo por ano por doente</w:t>
            </w:r>
          </w:p>
        </w:tc>
        <w:tc>
          <w:tcPr>
            <w:tcW w:w="2095" w:type="dxa"/>
            <w:hideMark/>
          </w:tcPr>
          <w:p w14:paraId="08987BA2" w14:textId="77777777" w:rsidR="00D72536" w:rsidRPr="00D72536" w:rsidRDefault="00D72536" w:rsidP="00D72536">
            <w:pPr>
              <w:spacing w:after="100" w:afterAutospacing="1" w:line="240" w:lineRule="auto"/>
              <w:jc w:val="center"/>
              <w:rPr>
                <w:rFonts w:ascii="Arial" w:hAnsi="Arial" w:cs="Arial"/>
                <w:b/>
                <w:lang w:eastAsia="fr-FR"/>
              </w:rPr>
            </w:pPr>
            <w:r w:rsidRPr="00D72536">
              <w:rPr>
                <w:rFonts w:ascii="Arial" w:hAnsi="Arial" w:cs="Arial"/>
                <w:b/>
                <w:lang w:eastAsia="fr-FR"/>
              </w:rPr>
              <w:t>Custo total Anual</w:t>
            </w:r>
          </w:p>
        </w:tc>
      </w:tr>
      <w:tr w:rsidR="00D72536" w:rsidRPr="00D72536" w14:paraId="6D2C630E" w14:textId="77777777" w:rsidTr="00115346">
        <w:trPr>
          <w:trHeight w:val="300"/>
        </w:trPr>
        <w:tc>
          <w:tcPr>
            <w:tcW w:w="2374" w:type="dxa"/>
            <w:noWrap/>
            <w:hideMark/>
          </w:tcPr>
          <w:p w14:paraId="0D737E73"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Terapêutica antipsicótica</w:t>
            </w:r>
          </w:p>
        </w:tc>
        <w:tc>
          <w:tcPr>
            <w:tcW w:w="1652" w:type="dxa"/>
            <w:noWrap/>
            <w:vAlign w:val="center"/>
            <w:hideMark/>
          </w:tcPr>
          <w:p w14:paraId="22C6AB5D"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88%</w:t>
            </w:r>
          </w:p>
        </w:tc>
        <w:tc>
          <w:tcPr>
            <w:tcW w:w="1762" w:type="dxa"/>
            <w:noWrap/>
            <w:vAlign w:val="center"/>
            <w:hideMark/>
          </w:tcPr>
          <w:p w14:paraId="3AA8E15B"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 xml:space="preserve">36.032 </w:t>
            </w:r>
            <w:r w:rsidRPr="00D72536">
              <w:rPr>
                <w:rFonts w:ascii="Arial" w:hAnsi="Arial" w:cs="Arial"/>
                <w:vertAlign w:val="superscript"/>
                <w:lang w:eastAsia="fr-FR"/>
              </w:rPr>
              <w:t>a</w:t>
            </w:r>
          </w:p>
        </w:tc>
        <w:tc>
          <w:tcPr>
            <w:tcW w:w="1615" w:type="dxa"/>
            <w:noWrap/>
            <w:vAlign w:val="center"/>
            <w:hideMark/>
          </w:tcPr>
          <w:p w14:paraId="7BDA4057"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 xml:space="preserve">1.203,83 € </w:t>
            </w:r>
            <w:r w:rsidRPr="00D72536">
              <w:rPr>
                <w:rFonts w:ascii="Arial" w:hAnsi="Arial" w:cs="Arial"/>
                <w:vertAlign w:val="superscript"/>
                <w:lang w:eastAsia="fr-FR"/>
              </w:rPr>
              <w:t>b</w:t>
            </w:r>
          </w:p>
        </w:tc>
        <w:tc>
          <w:tcPr>
            <w:tcW w:w="2095" w:type="dxa"/>
            <w:noWrap/>
            <w:vAlign w:val="center"/>
            <w:hideMark/>
          </w:tcPr>
          <w:p w14:paraId="7EE3331A"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43.376.303,76 €</w:t>
            </w:r>
            <w:r w:rsidRPr="00D72536">
              <w:rPr>
                <w:rFonts w:ascii="Arial" w:hAnsi="Arial" w:cs="Arial"/>
                <w:vertAlign w:val="superscript"/>
                <w:lang w:eastAsia="fr-FR"/>
              </w:rPr>
              <w:t xml:space="preserve"> b</w:t>
            </w:r>
          </w:p>
        </w:tc>
      </w:tr>
      <w:tr w:rsidR="00D72536" w:rsidRPr="00D72536" w14:paraId="6C558AF6" w14:textId="77777777" w:rsidTr="00115346">
        <w:trPr>
          <w:trHeight w:val="300"/>
        </w:trPr>
        <w:tc>
          <w:tcPr>
            <w:tcW w:w="2374" w:type="dxa"/>
            <w:noWrap/>
            <w:hideMark/>
          </w:tcPr>
          <w:p w14:paraId="5AE0FE9B"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Outra terapêutica</w:t>
            </w:r>
          </w:p>
        </w:tc>
        <w:tc>
          <w:tcPr>
            <w:tcW w:w="1652" w:type="dxa"/>
            <w:noWrap/>
            <w:vAlign w:val="center"/>
            <w:hideMark/>
          </w:tcPr>
          <w:p w14:paraId="04945728"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100%</w:t>
            </w:r>
          </w:p>
        </w:tc>
        <w:tc>
          <w:tcPr>
            <w:tcW w:w="1762" w:type="dxa"/>
            <w:noWrap/>
            <w:vAlign w:val="center"/>
            <w:hideMark/>
          </w:tcPr>
          <w:p w14:paraId="49E03AA6"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 xml:space="preserve">40.914 </w:t>
            </w:r>
            <w:r w:rsidRPr="00D72536">
              <w:rPr>
                <w:rFonts w:ascii="Arial" w:hAnsi="Arial" w:cs="Arial"/>
                <w:vertAlign w:val="superscript"/>
                <w:lang w:eastAsia="fr-FR"/>
              </w:rPr>
              <w:t>c</w:t>
            </w:r>
          </w:p>
        </w:tc>
        <w:tc>
          <w:tcPr>
            <w:tcW w:w="1615" w:type="dxa"/>
            <w:noWrap/>
            <w:vAlign w:val="center"/>
            <w:hideMark/>
          </w:tcPr>
          <w:p w14:paraId="3A36D715"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127,26 €</w:t>
            </w:r>
            <w:r w:rsidRPr="00D72536">
              <w:rPr>
                <w:rFonts w:ascii="Arial" w:hAnsi="Arial" w:cs="Arial"/>
                <w:vertAlign w:val="superscript"/>
                <w:lang w:eastAsia="fr-FR"/>
              </w:rPr>
              <w:t xml:space="preserve"> b</w:t>
            </w:r>
          </w:p>
        </w:tc>
        <w:tc>
          <w:tcPr>
            <w:tcW w:w="2095" w:type="dxa"/>
            <w:noWrap/>
            <w:vAlign w:val="center"/>
            <w:hideMark/>
          </w:tcPr>
          <w:p w14:paraId="64E6263B"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5.206.917,39 €</w:t>
            </w:r>
            <w:r w:rsidRPr="00D72536">
              <w:rPr>
                <w:rFonts w:ascii="Arial" w:hAnsi="Arial" w:cs="Arial"/>
                <w:vertAlign w:val="superscript"/>
                <w:lang w:eastAsia="fr-FR"/>
              </w:rPr>
              <w:t xml:space="preserve"> b</w:t>
            </w:r>
          </w:p>
        </w:tc>
      </w:tr>
      <w:tr w:rsidR="00D72536" w:rsidRPr="00D72536" w14:paraId="2CDCFCDD" w14:textId="77777777" w:rsidTr="00115346">
        <w:trPr>
          <w:trHeight w:val="300"/>
        </w:trPr>
        <w:tc>
          <w:tcPr>
            <w:tcW w:w="2374" w:type="dxa"/>
            <w:noWrap/>
            <w:hideMark/>
          </w:tcPr>
          <w:p w14:paraId="28C0DDEE"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Benzodiazepinas (incluindo zolpidem)</w:t>
            </w:r>
          </w:p>
        </w:tc>
        <w:tc>
          <w:tcPr>
            <w:tcW w:w="1652" w:type="dxa"/>
            <w:noWrap/>
            <w:vAlign w:val="center"/>
            <w:hideMark/>
          </w:tcPr>
          <w:p w14:paraId="0A0EAFEF"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68,3%</w:t>
            </w:r>
          </w:p>
        </w:tc>
        <w:tc>
          <w:tcPr>
            <w:tcW w:w="1762" w:type="dxa"/>
            <w:noWrap/>
            <w:vAlign w:val="center"/>
            <w:hideMark/>
          </w:tcPr>
          <w:p w14:paraId="70800756"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27.958</w:t>
            </w:r>
          </w:p>
        </w:tc>
        <w:tc>
          <w:tcPr>
            <w:tcW w:w="1615" w:type="dxa"/>
            <w:noWrap/>
            <w:vAlign w:val="center"/>
            <w:hideMark/>
          </w:tcPr>
          <w:p w14:paraId="7AA67230"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49,72 €</w:t>
            </w:r>
          </w:p>
        </w:tc>
        <w:tc>
          <w:tcPr>
            <w:tcW w:w="2095" w:type="dxa"/>
            <w:noWrap/>
            <w:vAlign w:val="center"/>
            <w:hideMark/>
          </w:tcPr>
          <w:p w14:paraId="5E7796B1"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1.390.009,71 €</w:t>
            </w:r>
          </w:p>
        </w:tc>
      </w:tr>
      <w:tr w:rsidR="00D72536" w:rsidRPr="00D72536" w14:paraId="39D1B917" w14:textId="77777777" w:rsidTr="00115346">
        <w:trPr>
          <w:trHeight w:val="300"/>
        </w:trPr>
        <w:tc>
          <w:tcPr>
            <w:tcW w:w="2374" w:type="dxa"/>
            <w:noWrap/>
            <w:hideMark/>
          </w:tcPr>
          <w:p w14:paraId="34DD67BA"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Anticolinérgicos</w:t>
            </w:r>
          </w:p>
        </w:tc>
        <w:tc>
          <w:tcPr>
            <w:tcW w:w="1652" w:type="dxa"/>
            <w:noWrap/>
            <w:vAlign w:val="center"/>
            <w:hideMark/>
          </w:tcPr>
          <w:p w14:paraId="2CE12250"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26,7%</w:t>
            </w:r>
          </w:p>
        </w:tc>
        <w:tc>
          <w:tcPr>
            <w:tcW w:w="1762" w:type="dxa"/>
            <w:noWrap/>
            <w:vAlign w:val="center"/>
            <w:hideMark/>
          </w:tcPr>
          <w:p w14:paraId="53EE2570"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10.910</w:t>
            </w:r>
          </w:p>
        </w:tc>
        <w:tc>
          <w:tcPr>
            <w:tcW w:w="1615" w:type="dxa"/>
            <w:noWrap/>
            <w:vAlign w:val="center"/>
            <w:hideMark/>
          </w:tcPr>
          <w:p w14:paraId="721F1360"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92,40 €</w:t>
            </w:r>
          </w:p>
        </w:tc>
        <w:tc>
          <w:tcPr>
            <w:tcW w:w="2095" w:type="dxa"/>
            <w:noWrap/>
            <w:vAlign w:val="center"/>
            <w:hideMark/>
          </w:tcPr>
          <w:p w14:paraId="2D3733FA"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1.008.096,94 €</w:t>
            </w:r>
          </w:p>
        </w:tc>
      </w:tr>
      <w:tr w:rsidR="00D72536" w:rsidRPr="00D72536" w14:paraId="5E4528BB" w14:textId="77777777" w:rsidTr="00115346">
        <w:trPr>
          <w:trHeight w:val="300"/>
        </w:trPr>
        <w:tc>
          <w:tcPr>
            <w:tcW w:w="2374" w:type="dxa"/>
            <w:noWrap/>
            <w:hideMark/>
          </w:tcPr>
          <w:p w14:paraId="3DB674D5"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Antidepressivos</w:t>
            </w:r>
          </w:p>
        </w:tc>
        <w:tc>
          <w:tcPr>
            <w:tcW w:w="1652" w:type="dxa"/>
            <w:noWrap/>
            <w:vAlign w:val="center"/>
            <w:hideMark/>
          </w:tcPr>
          <w:p w14:paraId="1BACE22D"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24,2%</w:t>
            </w:r>
          </w:p>
        </w:tc>
        <w:tc>
          <w:tcPr>
            <w:tcW w:w="1762" w:type="dxa"/>
            <w:noWrap/>
            <w:vAlign w:val="center"/>
            <w:hideMark/>
          </w:tcPr>
          <w:p w14:paraId="526DA72C"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9.888</w:t>
            </w:r>
          </w:p>
        </w:tc>
        <w:tc>
          <w:tcPr>
            <w:tcW w:w="1615" w:type="dxa"/>
            <w:noWrap/>
            <w:vAlign w:val="center"/>
            <w:hideMark/>
          </w:tcPr>
          <w:p w14:paraId="53B3201F"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60,02 €</w:t>
            </w:r>
          </w:p>
        </w:tc>
        <w:tc>
          <w:tcPr>
            <w:tcW w:w="2095" w:type="dxa"/>
            <w:noWrap/>
            <w:vAlign w:val="center"/>
            <w:hideMark/>
          </w:tcPr>
          <w:p w14:paraId="19E416A3"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593.462,89 €</w:t>
            </w:r>
          </w:p>
        </w:tc>
      </w:tr>
      <w:tr w:rsidR="00D72536" w:rsidRPr="00D72536" w14:paraId="50E41FE1" w14:textId="77777777" w:rsidTr="00115346">
        <w:trPr>
          <w:trHeight w:val="300"/>
        </w:trPr>
        <w:tc>
          <w:tcPr>
            <w:tcW w:w="2374" w:type="dxa"/>
            <w:noWrap/>
            <w:hideMark/>
          </w:tcPr>
          <w:p w14:paraId="1E386CA5"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Antiepiléticos</w:t>
            </w:r>
          </w:p>
        </w:tc>
        <w:tc>
          <w:tcPr>
            <w:tcW w:w="1652" w:type="dxa"/>
            <w:noWrap/>
            <w:vAlign w:val="center"/>
            <w:hideMark/>
          </w:tcPr>
          <w:p w14:paraId="75ACC031"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14,3%</w:t>
            </w:r>
          </w:p>
        </w:tc>
        <w:tc>
          <w:tcPr>
            <w:tcW w:w="1762" w:type="dxa"/>
            <w:noWrap/>
            <w:vAlign w:val="center"/>
            <w:hideMark/>
          </w:tcPr>
          <w:p w14:paraId="7F561839"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5.864</w:t>
            </w:r>
          </w:p>
        </w:tc>
        <w:tc>
          <w:tcPr>
            <w:tcW w:w="1615" w:type="dxa"/>
            <w:noWrap/>
            <w:vAlign w:val="center"/>
            <w:hideMark/>
          </w:tcPr>
          <w:p w14:paraId="24EC4FCD"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377,77 €</w:t>
            </w:r>
          </w:p>
        </w:tc>
        <w:tc>
          <w:tcPr>
            <w:tcW w:w="2095" w:type="dxa"/>
            <w:noWrap/>
            <w:vAlign w:val="center"/>
            <w:hideMark/>
          </w:tcPr>
          <w:p w14:paraId="18BE2026" w14:textId="77777777" w:rsidR="00D72536" w:rsidRPr="00D72536" w:rsidRDefault="00D72536" w:rsidP="00D72536">
            <w:pPr>
              <w:spacing w:after="100" w:afterAutospacing="1" w:line="240" w:lineRule="auto"/>
              <w:jc w:val="center"/>
              <w:rPr>
                <w:rFonts w:ascii="Arial" w:hAnsi="Arial" w:cs="Arial"/>
                <w:lang w:eastAsia="fr-FR"/>
              </w:rPr>
            </w:pPr>
            <w:r w:rsidRPr="00D72536">
              <w:rPr>
                <w:rFonts w:ascii="Arial" w:hAnsi="Arial" w:cs="Arial"/>
                <w:lang w:eastAsia="fr-FR"/>
              </w:rPr>
              <w:t>2.215.347,85 €</w:t>
            </w:r>
          </w:p>
        </w:tc>
      </w:tr>
    </w:tbl>
    <w:p w14:paraId="5AA7DEEB" w14:textId="77777777" w:rsidR="00D72536" w:rsidRPr="00D72536" w:rsidRDefault="00D72536" w:rsidP="00D72536">
      <w:pPr>
        <w:rPr>
          <w:rFonts w:ascii="Calibri" w:eastAsia="Times New Roman" w:hAnsi="Calibri" w:cs="Times New Roman"/>
          <w:b/>
          <w:bCs/>
          <w:kern w:val="28"/>
          <w:sz w:val="24"/>
          <w:szCs w:val="26"/>
          <w:lang w:eastAsia="fr-FR"/>
        </w:rPr>
      </w:pPr>
    </w:p>
    <w:p w14:paraId="751FB196" w14:textId="77777777" w:rsidR="00D72536" w:rsidRPr="00D72536" w:rsidRDefault="00D72536" w:rsidP="00D72536">
      <w:pPr>
        <w:rPr>
          <w:rFonts w:ascii="Arial" w:eastAsia="Times New Roman" w:hAnsi="Arial" w:cs="Arial"/>
          <w:bCs/>
          <w:kern w:val="28"/>
          <w:sz w:val="20"/>
          <w:szCs w:val="20"/>
          <w:lang w:eastAsia="fr-FR"/>
        </w:rPr>
      </w:pPr>
      <w:r w:rsidRPr="00D72536">
        <w:rPr>
          <w:rFonts w:ascii="Arial" w:eastAsia="Times New Roman" w:hAnsi="Arial" w:cs="Arial"/>
          <w:bCs/>
          <w:kern w:val="28"/>
          <w:sz w:val="20"/>
          <w:szCs w:val="20"/>
          <w:vertAlign w:val="superscript"/>
          <w:lang w:eastAsia="fr-FR"/>
        </w:rPr>
        <w:t>a</w:t>
      </w:r>
      <w:r w:rsidRPr="00D72536">
        <w:rPr>
          <w:rFonts w:ascii="Arial" w:eastAsia="Times New Roman" w:hAnsi="Arial" w:cs="Arial"/>
          <w:bCs/>
          <w:kern w:val="28"/>
          <w:sz w:val="20"/>
          <w:szCs w:val="20"/>
          <w:lang w:eastAsia="fr-FR"/>
        </w:rPr>
        <w:t xml:space="preserve"> Nº de doentes em seguimento e com terapêutica antipsicótica.</w:t>
      </w:r>
    </w:p>
    <w:p w14:paraId="5BECCDFD" w14:textId="77777777" w:rsidR="00D72536" w:rsidRPr="00D72536" w:rsidRDefault="00D72536" w:rsidP="00D72536">
      <w:pPr>
        <w:rPr>
          <w:rFonts w:ascii="Arial" w:eastAsia="Times New Roman" w:hAnsi="Arial" w:cs="Arial"/>
          <w:bCs/>
          <w:kern w:val="28"/>
          <w:sz w:val="20"/>
          <w:szCs w:val="20"/>
          <w:lang w:eastAsia="fr-FR"/>
        </w:rPr>
      </w:pPr>
      <w:proofErr w:type="gramStart"/>
      <w:r w:rsidRPr="00D72536">
        <w:rPr>
          <w:rFonts w:ascii="Arial" w:eastAsia="Times New Roman" w:hAnsi="Arial" w:cs="Arial"/>
          <w:bCs/>
          <w:kern w:val="28"/>
          <w:sz w:val="20"/>
          <w:szCs w:val="20"/>
          <w:vertAlign w:val="superscript"/>
          <w:lang w:eastAsia="fr-FR"/>
        </w:rPr>
        <w:t>b</w:t>
      </w:r>
      <w:r w:rsidRPr="00D72536">
        <w:rPr>
          <w:rFonts w:ascii="Arial" w:eastAsia="Times New Roman" w:hAnsi="Arial" w:cs="Arial"/>
          <w:bCs/>
          <w:kern w:val="28"/>
          <w:sz w:val="20"/>
          <w:szCs w:val="20"/>
          <w:lang w:eastAsia="fr-FR"/>
        </w:rPr>
        <w:t xml:space="preserve"> Cada</w:t>
      </w:r>
      <w:proofErr w:type="gramEnd"/>
      <w:r w:rsidRPr="00D72536">
        <w:rPr>
          <w:rFonts w:ascii="Arial" w:eastAsia="Times New Roman" w:hAnsi="Arial" w:cs="Arial"/>
          <w:bCs/>
          <w:kern w:val="28"/>
          <w:sz w:val="20"/>
          <w:szCs w:val="20"/>
          <w:lang w:eastAsia="fr-FR"/>
        </w:rPr>
        <w:t xml:space="preserve"> doente pode estar a fazer mais que uma medicação ao mesmo tempo.</w:t>
      </w:r>
    </w:p>
    <w:p w14:paraId="26A73E8D" w14:textId="77777777" w:rsidR="00D72536" w:rsidRPr="00D72536" w:rsidRDefault="00D72536" w:rsidP="00D72536">
      <w:pPr>
        <w:rPr>
          <w:rFonts w:ascii="Arial" w:eastAsia="Times New Roman" w:hAnsi="Arial" w:cs="Arial"/>
          <w:bCs/>
          <w:kern w:val="28"/>
          <w:sz w:val="20"/>
          <w:szCs w:val="20"/>
          <w:lang w:eastAsia="fr-FR"/>
        </w:rPr>
      </w:pPr>
      <w:proofErr w:type="gramStart"/>
      <w:r w:rsidRPr="00D72536">
        <w:rPr>
          <w:rFonts w:ascii="Arial" w:eastAsia="Times New Roman" w:hAnsi="Arial" w:cs="Arial"/>
          <w:bCs/>
          <w:kern w:val="28"/>
          <w:sz w:val="20"/>
          <w:szCs w:val="20"/>
          <w:vertAlign w:val="superscript"/>
          <w:lang w:eastAsia="fr-FR"/>
        </w:rPr>
        <w:t>c</w:t>
      </w:r>
      <w:proofErr w:type="gramEnd"/>
      <w:r w:rsidRPr="00D72536">
        <w:rPr>
          <w:rFonts w:ascii="Arial" w:eastAsia="Times New Roman" w:hAnsi="Arial" w:cs="Arial"/>
          <w:bCs/>
          <w:kern w:val="28"/>
          <w:sz w:val="20"/>
          <w:szCs w:val="20"/>
          <w:lang w:eastAsia="fr-FR"/>
        </w:rPr>
        <w:t xml:space="preserve"> O total não corresponde à soma das partes porque há doentes medicados com dois ou mais medicamentos dentro da categoria “outra terapêutica”.</w:t>
      </w:r>
    </w:p>
    <w:p w14:paraId="4A9B7CDA" w14:textId="77777777" w:rsidR="00F11508" w:rsidRPr="00F11508" w:rsidRDefault="00F11508" w:rsidP="005D0A63">
      <w:pPr>
        <w:spacing w:after="0"/>
      </w:pPr>
    </w:p>
    <w:sectPr w:rsidR="00F11508" w:rsidRPr="00F11508" w:rsidSect="00087050">
      <w:footerReference w:type="default" r:id="rId9"/>
      <w:footnotePr>
        <w:numFmt w:val="lowerRoman"/>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CE26" w14:textId="77777777" w:rsidR="00071FC3" w:rsidRDefault="00071FC3" w:rsidP="00410652">
      <w:pPr>
        <w:spacing w:after="0" w:line="240" w:lineRule="auto"/>
      </w:pPr>
      <w:r>
        <w:separator/>
      </w:r>
    </w:p>
  </w:endnote>
  <w:endnote w:type="continuationSeparator" w:id="0">
    <w:p w14:paraId="482D1DAD" w14:textId="77777777" w:rsidR="00071FC3" w:rsidRDefault="00071FC3" w:rsidP="0041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87442"/>
      <w:docPartObj>
        <w:docPartGallery w:val="Page Numbers (Bottom of Page)"/>
        <w:docPartUnique/>
      </w:docPartObj>
    </w:sdtPr>
    <w:sdtEndPr>
      <w:rPr>
        <w:noProof/>
      </w:rPr>
    </w:sdtEndPr>
    <w:sdtContent>
      <w:p w14:paraId="07AD0775" w14:textId="72931EB8" w:rsidR="00115346" w:rsidRDefault="00115346">
        <w:pPr>
          <w:pStyle w:val="Footer"/>
          <w:jc w:val="right"/>
        </w:pPr>
        <w:r>
          <w:fldChar w:fldCharType="begin"/>
        </w:r>
        <w:r>
          <w:instrText xml:space="preserve"> PAGE   \* MERGEFORMAT </w:instrText>
        </w:r>
        <w:r>
          <w:fldChar w:fldCharType="separate"/>
        </w:r>
        <w:r w:rsidR="00806FF8">
          <w:rPr>
            <w:noProof/>
          </w:rPr>
          <w:t>6</w:t>
        </w:r>
        <w:r>
          <w:rPr>
            <w:noProof/>
          </w:rPr>
          <w:fldChar w:fldCharType="end"/>
        </w:r>
      </w:p>
    </w:sdtContent>
  </w:sdt>
  <w:p w14:paraId="5F4AF212" w14:textId="77777777" w:rsidR="00115346" w:rsidRDefault="001153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1FD7" w14:textId="77777777" w:rsidR="00071FC3" w:rsidRDefault="00071FC3" w:rsidP="00410652">
      <w:pPr>
        <w:spacing w:after="0" w:line="240" w:lineRule="auto"/>
      </w:pPr>
      <w:r>
        <w:separator/>
      </w:r>
    </w:p>
  </w:footnote>
  <w:footnote w:type="continuationSeparator" w:id="0">
    <w:p w14:paraId="4CB8F08D" w14:textId="77777777" w:rsidR="00071FC3" w:rsidRDefault="00071FC3" w:rsidP="004106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F2893"/>
    <w:multiLevelType w:val="hybridMultilevel"/>
    <w:tmpl w:val="8E1896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BA24EC9"/>
    <w:multiLevelType w:val="hybridMultilevel"/>
    <w:tmpl w:val="757224F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rvzrx5o05pvvex2tixxxxcx0xddzex9vw0&quot;&gt;My EndNote_VTA cladribina&lt;record-ids&gt;&lt;item&gt;105&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8&lt;/item&gt;&lt;item&gt;259&lt;/item&gt;&lt;item&gt;260&lt;/item&gt;&lt;item&gt;261&lt;/item&gt;&lt;item&gt;262&lt;/item&gt;&lt;item&gt;263&lt;/item&gt;&lt;item&gt;264&lt;/item&gt;&lt;/record-ids&gt;&lt;/item&gt;&lt;/Libraries&gt;"/>
  </w:docVars>
  <w:rsids>
    <w:rsidRoot w:val="00FF4C98"/>
    <w:rsid w:val="00002F46"/>
    <w:rsid w:val="000134B3"/>
    <w:rsid w:val="000162E2"/>
    <w:rsid w:val="0002203C"/>
    <w:rsid w:val="000420F7"/>
    <w:rsid w:val="00045ADA"/>
    <w:rsid w:val="00062264"/>
    <w:rsid w:val="00062E3D"/>
    <w:rsid w:val="00064E78"/>
    <w:rsid w:val="00071FC3"/>
    <w:rsid w:val="0007307E"/>
    <w:rsid w:val="000736A1"/>
    <w:rsid w:val="00083743"/>
    <w:rsid w:val="000864CB"/>
    <w:rsid w:val="00087050"/>
    <w:rsid w:val="00094151"/>
    <w:rsid w:val="000974BB"/>
    <w:rsid w:val="000B52D6"/>
    <w:rsid w:val="000C0C81"/>
    <w:rsid w:val="000C2E3C"/>
    <w:rsid w:val="000D502A"/>
    <w:rsid w:val="000E30A4"/>
    <w:rsid w:val="001072F7"/>
    <w:rsid w:val="00112249"/>
    <w:rsid w:val="00115346"/>
    <w:rsid w:val="00116FAF"/>
    <w:rsid w:val="00123181"/>
    <w:rsid w:val="00133924"/>
    <w:rsid w:val="00135C3C"/>
    <w:rsid w:val="00140E62"/>
    <w:rsid w:val="00146344"/>
    <w:rsid w:val="00155BEB"/>
    <w:rsid w:val="00166ECC"/>
    <w:rsid w:val="00193E6E"/>
    <w:rsid w:val="0019470F"/>
    <w:rsid w:val="001947C8"/>
    <w:rsid w:val="001A0E36"/>
    <w:rsid w:val="001B4CC4"/>
    <w:rsid w:val="001C05D5"/>
    <w:rsid w:val="001C0CB6"/>
    <w:rsid w:val="001C54A9"/>
    <w:rsid w:val="001C57F8"/>
    <w:rsid w:val="001D7195"/>
    <w:rsid w:val="001F006D"/>
    <w:rsid w:val="002206D7"/>
    <w:rsid w:val="00231EF9"/>
    <w:rsid w:val="0023572F"/>
    <w:rsid w:val="002A4FA4"/>
    <w:rsid w:val="002A73BF"/>
    <w:rsid w:val="002C1224"/>
    <w:rsid w:val="002C3B5B"/>
    <w:rsid w:val="002C3EE7"/>
    <w:rsid w:val="002C433C"/>
    <w:rsid w:val="002E6A4E"/>
    <w:rsid w:val="002F3BA6"/>
    <w:rsid w:val="002F4B4E"/>
    <w:rsid w:val="002F56C5"/>
    <w:rsid w:val="00303711"/>
    <w:rsid w:val="003161D4"/>
    <w:rsid w:val="00343AE6"/>
    <w:rsid w:val="00363DB3"/>
    <w:rsid w:val="003711CC"/>
    <w:rsid w:val="00372491"/>
    <w:rsid w:val="003844D7"/>
    <w:rsid w:val="003A60DF"/>
    <w:rsid w:val="003B63E1"/>
    <w:rsid w:val="003C2375"/>
    <w:rsid w:val="003C329E"/>
    <w:rsid w:val="003C3BAD"/>
    <w:rsid w:val="003D2957"/>
    <w:rsid w:val="003F4663"/>
    <w:rsid w:val="003F6E64"/>
    <w:rsid w:val="0040235D"/>
    <w:rsid w:val="0040631C"/>
    <w:rsid w:val="00407DED"/>
    <w:rsid w:val="00410652"/>
    <w:rsid w:val="004150B9"/>
    <w:rsid w:val="00422D75"/>
    <w:rsid w:val="00422F40"/>
    <w:rsid w:val="00430A56"/>
    <w:rsid w:val="00444AD4"/>
    <w:rsid w:val="0045369E"/>
    <w:rsid w:val="00455FBC"/>
    <w:rsid w:val="00456799"/>
    <w:rsid w:val="00467510"/>
    <w:rsid w:val="00471354"/>
    <w:rsid w:val="00473527"/>
    <w:rsid w:val="004760E1"/>
    <w:rsid w:val="00480828"/>
    <w:rsid w:val="004825F9"/>
    <w:rsid w:val="004961AF"/>
    <w:rsid w:val="004B68FD"/>
    <w:rsid w:val="004C0AF9"/>
    <w:rsid w:val="004C5C07"/>
    <w:rsid w:val="004C6E7E"/>
    <w:rsid w:val="00500BF0"/>
    <w:rsid w:val="0050720A"/>
    <w:rsid w:val="0051279A"/>
    <w:rsid w:val="00553453"/>
    <w:rsid w:val="0055592F"/>
    <w:rsid w:val="0056738B"/>
    <w:rsid w:val="005801D6"/>
    <w:rsid w:val="00587C22"/>
    <w:rsid w:val="005A1D78"/>
    <w:rsid w:val="005A6EFF"/>
    <w:rsid w:val="005B71DA"/>
    <w:rsid w:val="005C3583"/>
    <w:rsid w:val="005D0A63"/>
    <w:rsid w:val="005E4472"/>
    <w:rsid w:val="005E5E27"/>
    <w:rsid w:val="005F00A9"/>
    <w:rsid w:val="00611A83"/>
    <w:rsid w:val="00616CBF"/>
    <w:rsid w:val="00635696"/>
    <w:rsid w:val="006438DF"/>
    <w:rsid w:val="0065150E"/>
    <w:rsid w:val="00660638"/>
    <w:rsid w:val="006618C7"/>
    <w:rsid w:val="00665D1B"/>
    <w:rsid w:val="006C2D65"/>
    <w:rsid w:val="006D6E89"/>
    <w:rsid w:val="006E23B6"/>
    <w:rsid w:val="006E4949"/>
    <w:rsid w:val="006E5650"/>
    <w:rsid w:val="006E763E"/>
    <w:rsid w:val="006F67D5"/>
    <w:rsid w:val="00715BC9"/>
    <w:rsid w:val="00717E6C"/>
    <w:rsid w:val="007221DF"/>
    <w:rsid w:val="00733CB8"/>
    <w:rsid w:val="0073558F"/>
    <w:rsid w:val="007458BA"/>
    <w:rsid w:val="00766598"/>
    <w:rsid w:val="00783AEA"/>
    <w:rsid w:val="007A0F62"/>
    <w:rsid w:val="007D0433"/>
    <w:rsid w:val="007D2009"/>
    <w:rsid w:val="007D2939"/>
    <w:rsid w:val="007D633B"/>
    <w:rsid w:val="007F2F3F"/>
    <w:rsid w:val="008054A2"/>
    <w:rsid w:val="00806FF8"/>
    <w:rsid w:val="00832796"/>
    <w:rsid w:val="00844A3F"/>
    <w:rsid w:val="00853FEF"/>
    <w:rsid w:val="008676AA"/>
    <w:rsid w:val="008769B4"/>
    <w:rsid w:val="00883D86"/>
    <w:rsid w:val="00885D73"/>
    <w:rsid w:val="00886E84"/>
    <w:rsid w:val="008B2ABA"/>
    <w:rsid w:val="008B56CC"/>
    <w:rsid w:val="008D42BE"/>
    <w:rsid w:val="008D69BB"/>
    <w:rsid w:val="008E7272"/>
    <w:rsid w:val="00904E86"/>
    <w:rsid w:val="009162F5"/>
    <w:rsid w:val="0092226F"/>
    <w:rsid w:val="0093421F"/>
    <w:rsid w:val="00934353"/>
    <w:rsid w:val="00936F52"/>
    <w:rsid w:val="009405AD"/>
    <w:rsid w:val="00942DED"/>
    <w:rsid w:val="0094331D"/>
    <w:rsid w:val="009577EA"/>
    <w:rsid w:val="009653D7"/>
    <w:rsid w:val="009725DC"/>
    <w:rsid w:val="00984145"/>
    <w:rsid w:val="009867DA"/>
    <w:rsid w:val="00987633"/>
    <w:rsid w:val="0099793E"/>
    <w:rsid w:val="009C21A6"/>
    <w:rsid w:val="009D0928"/>
    <w:rsid w:val="009E3DB9"/>
    <w:rsid w:val="00A0305F"/>
    <w:rsid w:val="00A07ABE"/>
    <w:rsid w:val="00A1026F"/>
    <w:rsid w:val="00A213A5"/>
    <w:rsid w:val="00A21E57"/>
    <w:rsid w:val="00A34FFE"/>
    <w:rsid w:val="00A662FB"/>
    <w:rsid w:val="00A74507"/>
    <w:rsid w:val="00A82C1E"/>
    <w:rsid w:val="00A84DAA"/>
    <w:rsid w:val="00A905F1"/>
    <w:rsid w:val="00A934E4"/>
    <w:rsid w:val="00AA7D2C"/>
    <w:rsid w:val="00AB2C23"/>
    <w:rsid w:val="00AB49FB"/>
    <w:rsid w:val="00AB5CE4"/>
    <w:rsid w:val="00AC5D5A"/>
    <w:rsid w:val="00AD27A2"/>
    <w:rsid w:val="00AE2B94"/>
    <w:rsid w:val="00AE43FF"/>
    <w:rsid w:val="00AE50AE"/>
    <w:rsid w:val="00AF2C71"/>
    <w:rsid w:val="00AF4BA8"/>
    <w:rsid w:val="00B00388"/>
    <w:rsid w:val="00B1434D"/>
    <w:rsid w:val="00B24F49"/>
    <w:rsid w:val="00B44661"/>
    <w:rsid w:val="00B520BB"/>
    <w:rsid w:val="00B528BA"/>
    <w:rsid w:val="00B546DB"/>
    <w:rsid w:val="00B62925"/>
    <w:rsid w:val="00B661F9"/>
    <w:rsid w:val="00B74DB6"/>
    <w:rsid w:val="00B851E9"/>
    <w:rsid w:val="00BB462E"/>
    <w:rsid w:val="00BC08F8"/>
    <w:rsid w:val="00BC4D24"/>
    <w:rsid w:val="00BD1AA6"/>
    <w:rsid w:val="00BD2715"/>
    <w:rsid w:val="00BE0171"/>
    <w:rsid w:val="00BF1F2C"/>
    <w:rsid w:val="00BF25C1"/>
    <w:rsid w:val="00C269DF"/>
    <w:rsid w:val="00C34041"/>
    <w:rsid w:val="00C46CB9"/>
    <w:rsid w:val="00C66F5B"/>
    <w:rsid w:val="00C67F89"/>
    <w:rsid w:val="00C75C7D"/>
    <w:rsid w:val="00C84652"/>
    <w:rsid w:val="00C93D72"/>
    <w:rsid w:val="00C93E79"/>
    <w:rsid w:val="00CA2C7E"/>
    <w:rsid w:val="00CA6F06"/>
    <w:rsid w:val="00CB4EC8"/>
    <w:rsid w:val="00CB793B"/>
    <w:rsid w:val="00CC72D9"/>
    <w:rsid w:val="00CD0BA7"/>
    <w:rsid w:val="00CD46D7"/>
    <w:rsid w:val="00CE0EA2"/>
    <w:rsid w:val="00CF206B"/>
    <w:rsid w:val="00CF4972"/>
    <w:rsid w:val="00D042AB"/>
    <w:rsid w:val="00D34A5C"/>
    <w:rsid w:val="00D50FFB"/>
    <w:rsid w:val="00D72536"/>
    <w:rsid w:val="00D751BB"/>
    <w:rsid w:val="00D7618A"/>
    <w:rsid w:val="00D7719D"/>
    <w:rsid w:val="00D828F2"/>
    <w:rsid w:val="00D93D76"/>
    <w:rsid w:val="00D953BE"/>
    <w:rsid w:val="00DA1262"/>
    <w:rsid w:val="00DA6BA9"/>
    <w:rsid w:val="00DB1951"/>
    <w:rsid w:val="00DD29CD"/>
    <w:rsid w:val="00DE35DB"/>
    <w:rsid w:val="00DE74B4"/>
    <w:rsid w:val="00E0376B"/>
    <w:rsid w:val="00E07788"/>
    <w:rsid w:val="00E22775"/>
    <w:rsid w:val="00E26E8A"/>
    <w:rsid w:val="00E448EC"/>
    <w:rsid w:val="00E54287"/>
    <w:rsid w:val="00E643A7"/>
    <w:rsid w:val="00E76062"/>
    <w:rsid w:val="00E80B28"/>
    <w:rsid w:val="00E816F3"/>
    <w:rsid w:val="00E924A4"/>
    <w:rsid w:val="00E949D4"/>
    <w:rsid w:val="00E96960"/>
    <w:rsid w:val="00EF57C7"/>
    <w:rsid w:val="00F11508"/>
    <w:rsid w:val="00F149E5"/>
    <w:rsid w:val="00F174ED"/>
    <w:rsid w:val="00F246C6"/>
    <w:rsid w:val="00F331E1"/>
    <w:rsid w:val="00F94939"/>
    <w:rsid w:val="00F95798"/>
    <w:rsid w:val="00F97E01"/>
    <w:rsid w:val="00FA1512"/>
    <w:rsid w:val="00FB1846"/>
    <w:rsid w:val="00FC3F6D"/>
    <w:rsid w:val="00FC550C"/>
    <w:rsid w:val="00FD3512"/>
    <w:rsid w:val="00FD6C30"/>
    <w:rsid w:val="00FE0984"/>
    <w:rsid w:val="00FE7FF3"/>
    <w:rsid w:val="00FF4C98"/>
    <w:rsid w:val="00FF50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D116"/>
  <w15:chartTrackingRefBased/>
  <w15:docId w15:val="{B30B2192-2F0A-4052-8C2F-C2597EB4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F5B"/>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C66F5B"/>
    <w:pPr>
      <w:keepNext/>
      <w:keepLines/>
      <w:spacing w:before="40" w:after="0"/>
      <w:outlineLvl w:val="2"/>
    </w:pPr>
    <w:rPr>
      <w:rFonts w:asciiTheme="majorHAnsi" w:eastAsiaTheme="majorEastAsia" w:hAnsiTheme="majorHAnsi" w:cstheme="majorBidi"/>
      <w:i/>
      <w:sz w:val="26"/>
      <w:szCs w:val="24"/>
    </w:rPr>
  </w:style>
  <w:style w:type="paragraph" w:styleId="Heading4">
    <w:name w:val="heading 4"/>
    <w:basedOn w:val="Normal"/>
    <w:next w:val="Normal"/>
    <w:link w:val="Heading4Char"/>
    <w:uiPriority w:val="9"/>
    <w:unhideWhenUsed/>
    <w:qFormat/>
    <w:rsid w:val="006F67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F4C98"/>
  </w:style>
  <w:style w:type="character" w:styleId="FootnoteReference">
    <w:name w:val="footnote reference"/>
    <w:semiHidden/>
    <w:rsid w:val="00410652"/>
    <w:rPr>
      <w:rFonts w:cs="Times New Roman"/>
      <w:vertAlign w:val="superscript"/>
    </w:rPr>
  </w:style>
  <w:style w:type="paragraph" w:styleId="FootnoteText">
    <w:name w:val="footnote text"/>
    <w:basedOn w:val="Normal"/>
    <w:link w:val="FootnoteTextChar"/>
    <w:uiPriority w:val="99"/>
    <w:unhideWhenUsed/>
    <w:rsid w:val="00410652"/>
    <w:pPr>
      <w:spacing w:after="0" w:line="240" w:lineRule="auto"/>
      <w:ind w:firstLine="709"/>
      <w:jc w:val="both"/>
    </w:pPr>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rsid w:val="00410652"/>
    <w:rPr>
      <w:rFonts w:ascii="Calibri" w:eastAsia="Times New Roman" w:hAnsi="Calibri" w:cs="Times New Roman"/>
      <w:sz w:val="20"/>
      <w:szCs w:val="20"/>
      <w:lang w:eastAsia="fr-FR"/>
    </w:rPr>
  </w:style>
  <w:style w:type="character" w:customStyle="1" w:styleId="Heading2Char">
    <w:name w:val="Heading 2 Char"/>
    <w:basedOn w:val="DefaultParagraphFont"/>
    <w:link w:val="Heading2"/>
    <w:uiPriority w:val="9"/>
    <w:rsid w:val="00C66F5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C66F5B"/>
    <w:rPr>
      <w:rFonts w:asciiTheme="majorHAnsi" w:eastAsiaTheme="majorEastAsia" w:hAnsiTheme="majorHAnsi" w:cstheme="majorBidi"/>
      <w:i/>
      <w:sz w:val="26"/>
      <w:szCs w:val="24"/>
    </w:rPr>
  </w:style>
  <w:style w:type="character" w:styleId="CommentReference">
    <w:name w:val="annotation reference"/>
    <w:basedOn w:val="DefaultParagraphFont"/>
    <w:uiPriority w:val="99"/>
    <w:semiHidden/>
    <w:unhideWhenUsed/>
    <w:rsid w:val="00123181"/>
    <w:rPr>
      <w:sz w:val="16"/>
      <w:szCs w:val="16"/>
    </w:rPr>
  </w:style>
  <w:style w:type="paragraph" w:styleId="CommentText">
    <w:name w:val="annotation text"/>
    <w:basedOn w:val="Normal"/>
    <w:link w:val="CommentTextChar"/>
    <w:uiPriority w:val="99"/>
    <w:unhideWhenUsed/>
    <w:rsid w:val="00123181"/>
    <w:pPr>
      <w:spacing w:line="240" w:lineRule="auto"/>
    </w:pPr>
    <w:rPr>
      <w:sz w:val="20"/>
      <w:szCs w:val="20"/>
    </w:rPr>
  </w:style>
  <w:style w:type="character" w:customStyle="1" w:styleId="CommentTextChar">
    <w:name w:val="Comment Text Char"/>
    <w:basedOn w:val="DefaultParagraphFont"/>
    <w:link w:val="CommentText"/>
    <w:uiPriority w:val="99"/>
    <w:rsid w:val="00123181"/>
    <w:rPr>
      <w:sz w:val="20"/>
      <w:szCs w:val="20"/>
    </w:rPr>
  </w:style>
  <w:style w:type="paragraph" w:styleId="CommentSubject">
    <w:name w:val="annotation subject"/>
    <w:basedOn w:val="CommentText"/>
    <w:next w:val="CommentText"/>
    <w:link w:val="CommentSubjectChar"/>
    <w:uiPriority w:val="99"/>
    <w:semiHidden/>
    <w:unhideWhenUsed/>
    <w:rsid w:val="00123181"/>
    <w:rPr>
      <w:b/>
      <w:bCs/>
    </w:rPr>
  </w:style>
  <w:style w:type="character" w:customStyle="1" w:styleId="CommentSubjectChar">
    <w:name w:val="Comment Subject Char"/>
    <w:basedOn w:val="CommentTextChar"/>
    <w:link w:val="CommentSubject"/>
    <w:uiPriority w:val="99"/>
    <w:semiHidden/>
    <w:rsid w:val="00123181"/>
    <w:rPr>
      <w:b/>
      <w:bCs/>
      <w:sz w:val="20"/>
      <w:szCs w:val="20"/>
    </w:rPr>
  </w:style>
  <w:style w:type="paragraph" w:styleId="BalloonText">
    <w:name w:val="Balloon Text"/>
    <w:basedOn w:val="Normal"/>
    <w:link w:val="BalloonTextChar"/>
    <w:uiPriority w:val="99"/>
    <w:semiHidden/>
    <w:unhideWhenUsed/>
    <w:rsid w:val="0012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81"/>
    <w:rPr>
      <w:rFonts w:ascii="Segoe UI" w:hAnsi="Segoe UI" w:cs="Segoe UI"/>
      <w:sz w:val="18"/>
      <w:szCs w:val="18"/>
    </w:rPr>
  </w:style>
  <w:style w:type="character" w:customStyle="1" w:styleId="CaptionChar">
    <w:name w:val="Caption Char"/>
    <w:aliases w:val="Title for tables and figures Char,Table Caption Char,Bayer Caption Char,IB Caption Char,Medical Caption Char,Caption Char Char Char Char Char1,Caption Char Char Char Char1,Caption Char Char Char Char Char Char1"/>
    <w:link w:val="Caption"/>
    <w:locked/>
    <w:rsid w:val="009405AD"/>
    <w:rPr>
      <w:rFonts w:ascii="Times New Roman" w:eastAsia="Times New Roman" w:hAnsi="Times New Roman" w:cs="Times New Roman"/>
      <w:b/>
      <w:bCs/>
      <w:sz w:val="20"/>
      <w:szCs w:val="20"/>
      <w:lang w:eastAsia="fr-FR"/>
    </w:rPr>
  </w:style>
  <w:style w:type="paragraph" w:styleId="Caption">
    <w:name w:val="caption"/>
    <w:aliases w:val="Title for tables and figures,Table Caption,Bayer Caption,IB Caption,Medical Caption,Caption Char Char Char Char,Caption Char Char Char,Caption Char Char Char Char Char,Caption Char Char Char Char1 Char Char,Caption Char Char Char Char Char Char"/>
    <w:basedOn w:val="Normal"/>
    <w:next w:val="Normal"/>
    <w:link w:val="CaptionChar"/>
    <w:autoRedefine/>
    <w:unhideWhenUsed/>
    <w:qFormat/>
    <w:rsid w:val="009405AD"/>
    <w:pPr>
      <w:keepNext/>
      <w:tabs>
        <w:tab w:val="left" w:pos="0"/>
        <w:tab w:val="left" w:pos="142"/>
        <w:tab w:val="left" w:pos="284"/>
      </w:tabs>
      <w:spacing w:after="60" w:line="276" w:lineRule="auto"/>
      <w:jc w:val="center"/>
    </w:pPr>
    <w:rPr>
      <w:rFonts w:ascii="Times New Roman" w:eastAsia="Times New Roman" w:hAnsi="Times New Roman" w:cs="Times New Roman"/>
      <w:b/>
      <w:bCs/>
      <w:sz w:val="20"/>
      <w:szCs w:val="20"/>
      <w:lang w:eastAsia="fr-FR"/>
    </w:rPr>
  </w:style>
  <w:style w:type="table" w:customStyle="1" w:styleId="Tabelasimples11">
    <w:name w:val="Tabela simples 11"/>
    <w:basedOn w:val="TableNormal"/>
    <w:rsid w:val="009405AD"/>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paragraph" w:customStyle="1" w:styleId="rodap">
    <w:name w:val="rodapé"/>
    <w:basedOn w:val="Normal"/>
    <w:link w:val="rodapChar"/>
    <w:qFormat/>
    <w:rsid w:val="007221DF"/>
    <w:pPr>
      <w:autoSpaceDE w:val="0"/>
      <w:autoSpaceDN w:val="0"/>
      <w:adjustRightInd w:val="0"/>
      <w:spacing w:before="60" w:after="60" w:line="276" w:lineRule="auto"/>
      <w:ind w:firstLine="709"/>
      <w:jc w:val="both"/>
    </w:pPr>
    <w:rPr>
      <w:rFonts w:ascii="Calibri" w:eastAsia="Times New Roman" w:hAnsi="Calibri" w:cs="Times New Roman"/>
      <w:sz w:val="20"/>
      <w:szCs w:val="20"/>
      <w:lang w:eastAsia="fr-FR"/>
    </w:rPr>
  </w:style>
  <w:style w:type="character" w:customStyle="1" w:styleId="rodapChar">
    <w:name w:val="rodapé Char"/>
    <w:basedOn w:val="DefaultParagraphFont"/>
    <w:link w:val="rodap"/>
    <w:rsid w:val="007221DF"/>
    <w:rPr>
      <w:rFonts w:ascii="Calibri" w:eastAsia="Times New Roman" w:hAnsi="Calibri" w:cs="Times New Roman"/>
      <w:sz w:val="20"/>
      <w:szCs w:val="20"/>
      <w:lang w:eastAsia="fr-FR"/>
    </w:rPr>
  </w:style>
  <w:style w:type="paragraph" w:customStyle="1" w:styleId="TableNormal1">
    <w:name w:val="Table Normal1"/>
    <w:basedOn w:val="Normal"/>
    <w:autoRedefine/>
    <w:uiPriority w:val="99"/>
    <w:qFormat/>
    <w:rsid w:val="009E3DB9"/>
    <w:pPr>
      <w:widowControl w:val="0"/>
      <w:autoSpaceDE w:val="0"/>
      <w:autoSpaceDN w:val="0"/>
      <w:adjustRightInd w:val="0"/>
      <w:spacing w:before="60" w:after="0" w:line="300" w:lineRule="auto"/>
      <w:jc w:val="center"/>
    </w:pPr>
    <w:rPr>
      <w:rFonts w:ascii="Calibri" w:eastAsia="Times New Roman" w:hAnsi="Calibri" w:cs="Calibri"/>
      <w:sz w:val="20"/>
      <w:szCs w:val="20"/>
      <w:lang w:eastAsia="fr-FR"/>
    </w:rPr>
  </w:style>
  <w:style w:type="character" w:customStyle="1" w:styleId="Heading4Char">
    <w:name w:val="Heading 4 Char"/>
    <w:basedOn w:val="DefaultParagraphFont"/>
    <w:link w:val="Heading4"/>
    <w:uiPriority w:val="9"/>
    <w:rsid w:val="006F67D5"/>
    <w:rPr>
      <w:rFonts w:asciiTheme="majorHAnsi" w:eastAsiaTheme="majorEastAsia" w:hAnsiTheme="majorHAnsi" w:cstheme="majorBidi"/>
      <w:i/>
      <w:iCs/>
      <w:color w:val="2E74B5" w:themeColor="accent1" w:themeShade="BF"/>
    </w:rPr>
  </w:style>
  <w:style w:type="character" w:customStyle="1" w:styleId="highwire-citation-author">
    <w:name w:val="highwire-citation-author"/>
    <w:basedOn w:val="DefaultParagraphFont"/>
    <w:rsid w:val="00A34FFE"/>
  </w:style>
  <w:style w:type="character" w:customStyle="1" w:styleId="nlm-surname">
    <w:name w:val="nlm-surname"/>
    <w:basedOn w:val="DefaultParagraphFont"/>
    <w:rsid w:val="00A34FFE"/>
  </w:style>
  <w:style w:type="character" w:customStyle="1" w:styleId="highwire-cite-metadata-journal">
    <w:name w:val="highwire-cite-metadata-journal"/>
    <w:basedOn w:val="DefaultParagraphFont"/>
    <w:rsid w:val="00A34FFE"/>
  </w:style>
  <w:style w:type="character" w:customStyle="1" w:styleId="highwire-cite-metadata-year">
    <w:name w:val="highwire-cite-metadata-year"/>
    <w:basedOn w:val="DefaultParagraphFont"/>
    <w:rsid w:val="00A34FFE"/>
  </w:style>
  <w:style w:type="character" w:customStyle="1" w:styleId="highwire-cite-metadata-volume">
    <w:name w:val="highwire-cite-metadata-volume"/>
    <w:basedOn w:val="DefaultParagraphFont"/>
    <w:rsid w:val="00A34FFE"/>
  </w:style>
  <w:style w:type="character" w:customStyle="1" w:styleId="highwire-cite-metadata-pages">
    <w:name w:val="highwire-cite-metadata-pages"/>
    <w:basedOn w:val="DefaultParagraphFont"/>
    <w:rsid w:val="00A34FFE"/>
  </w:style>
  <w:style w:type="character" w:styleId="Hyperlink">
    <w:name w:val="Hyperlink"/>
    <w:basedOn w:val="DefaultParagraphFont"/>
    <w:uiPriority w:val="99"/>
    <w:unhideWhenUsed/>
    <w:rsid w:val="004C6E7E"/>
    <w:rPr>
      <w:color w:val="0563C1" w:themeColor="hyperlink"/>
      <w:u w:val="single"/>
    </w:rPr>
  </w:style>
  <w:style w:type="character" w:customStyle="1" w:styleId="Heading1Char">
    <w:name w:val="Heading 1 Char"/>
    <w:basedOn w:val="DefaultParagraphFont"/>
    <w:link w:val="Heading1"/>
    <w:uiPriority w:val="9"/>
    <w:rsid w:val="00904E86"/>
    <w:rPr>
      <w:rFonts w:asciiTheme="majorHAnsi" w:eastAsiaTheme="majorEastAsia" w:hAnsiTheme="majorHAnsi" w:cstheme="majorBidi"/>
      <w:color w:val="2E74B5" w:themeColor="accent1" w:themeShade="BF"/>
      <w:sz w:val="32"/>
      <w:szCs w:val="32"/>
    </w:rPr>
  </w:style>
  <w:style w:type="table" w:customStyle="1" w:styleId="Tabelasimples111">
    <w:name w:val="Tabela simples 111"/>
    <w:basedOn w:val="TableNormal"/>
    <w:next w:val="TableSimple1"/>
    <w:rsid w:val="000D502A"/>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0D50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simples1111">
    <w:name w:val="Tabela simples 1111"/>
    <w:basedOn w:val="TableNormal"/>
    <w:next w:val="TableSimple1"/>
    <w:rsid w:val="000D502A"/>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2">
    <w:name w:val="Tabela simples 112"/>
    <w:basedOn w:val="TableNormal"/>
    <w:next w:val="TableSimple1"/>
    <w:rsid w:val="003C3BAD"/>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6C2D65"/>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3">
    <w:name w:val="Tabela simples 113"/>
    <w:basedOn w:val="TableNormal"/>
    <w:rsid w:val="00DE35DB"/>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TableSimple12">
    <w:name w:val="Table Simple 12"/>
    <w:basedOn w:val="TableNormal"/>
    <w:next w:val="TableSimple1"/>
    <w:rsid w:val="00885D73"/>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4">
    <w:name w:val="Tabela simples 114"/>
    <w:basedOn w:val="TableNormal"/>
    <w:next w:val="TableSimple1"/>
    <w:rsid w:val="00885D73"/>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5">
    <w:name w:val="Tabela simples 115"/>
    <w:basedOn w:val="TableNormal"/>
    <w:next w:val="TableSimple1"/>
    <w:rsid w:val="00E76062"/>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Econmicos">
    <w:name w:val="Económicos"/>
    <w:basedOn w:val="TableNormal"/>
    <w:uiPriority w:val="99"/>
    <w:rsid w:val="00660638"/>
    <w:pPr>
      <w:spacing w:after="0" w:line="240" w:lineRule="auto"/>
    </w:pPr>
    <w:rPr>
      <w:rFonts w:ascii="Cambria" w:eastAsia="Calibri" w:hAnsi="Cambria" w:cs="Times New Roman"/>
      <w:sz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pPr>
        <w:wordWrap/>
        <w:spacing w:beforeLines="0" w:before="100" w:beforeAutospacing="1" w:afterLines="0" w:after="100" w:afterAutospacing="1" w:line="240" w:lineRule="auto"/>
        <w:ind w:leftChars="0" w:left="0" w:rightChars="0" w:right="0" w:firstLineChars="0" w:firstLine="0"/>
        <w:jc w:val="center"/>
      </w:pPr>
      <w:rPr>
        <w:rFonts w:ascii="Calibri" w:hAnsi="Calibri" w:hint="default"/>
        <w:b/>
        <w:sz w:val="20"/>
        <w:szCs w:val="20"/>
      </w:rPr>
      <w:tblPr/>
      <w:tcPr>
        <w:tcBorders>
          <w:top w:val="single" w:sz="12" w:space="0" w:color="008000"/>
          <w:left w:val="nil"/>
          <w:bottom w:val="single" w:sz="2" w:space="0" w:color="008000"/>
          <w:right w:val="nil"/>
          <w:insideH w:val="nil"/>
          <w:insideV w:val="nil"/>
          <w:tl2br w:val="nil"/>
          <w:tr2bl w:val="nil"/>
        </w:tcBorders>
        <w:vAlign w:val="center"/>
      </w:tcPr>
    </w:tblStylePr>
    <w:tblStylePr w:type="lastRow">
      <w:pPr>
        <w:wordWrap/>
        <w:spacing w:beforeLines="0" w:before="100" w:beforeAutospacing="1" w:afterLines="0" w:after="100" w:afterAutospacing="1" w:line="240" w:lineRule="auto"/>
        <w:ind w:leftChars="0" w:left="0" w:rightChars="0" w:right="0" w:firstLineChars="0" w:firstLine="0"/>
        <w:jc w:val="center"/>
      </w:pPr>
      <w:rPr>
        <w:rFonts w:ascii="Calibri" w:hAnsi="Calibri" w:hint="default"/>
        <w:sz w:val="20"/>
        <w:szCs w:val="20"/>
      </w:rPr>
      <w:tblPr/>
      <w:tcPr>
        <w:vAlign w:val="center"/>
      </w:tcPr>
    </w:tblStylePr>
  </w:style>
  <w:style w:type="table" w:customStyle="1" w:styleId="Tabelasimples116">
    <w:name w:val="Tabela simples 116"/>
    <w:basedOn w:val="TableNormal"/>
    <w:next w:val="TableSimple1"/>
    <w:rsid w:val="00660638"/>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3">
    <w:name w:val="Table Simple 13"/>
    <w:basedOn w:val="TableNormal"/>
    <w:next w:val="TableSimple1"/>
    <w:rsid w:val="00660638"/>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4B68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68FD"/>
  </w:style>
  <w:style w:type="paragraph" w:styleId="Footer">
    <w:name w:val="footer"/>
    <w:basedOn w:val="Normal"/>
    <w:link w:val="FooterChar"/>
    <w:uiPriority w:val="99"/>
    <w:unhideWhenUsed/>
    <w:rsid w:val="004B68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68FD"/>
  </w:style>
  <w:style w:type="paragraph" w:customStyle="1" w:styleId="EndNoteBibliographyTitle">
    <w:name w:val="EndNote Bibliography Title"/>
    <w:basedOn w:val="Normal"/>
    <w:link w:val="EndNoteBibliographyTitleChar"/>
    <w:rsid w:val="007458B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58BA"/>
    <w:rPr>
      <w:rFonts w:ascii="Calibri" w:hAnsi="Calibri" w:cs="Calibri"/>
      <w:noProof/>
      <w:lang w:val="en-US"/>
    </w:rPr>
  </w:style>
  <w:style w:type="paragraph" w:customStyle="1" w:styleId="EndNoteBibliography">
    <w:name w:val="EndNote Bibliography"/>
    <w:basedOn w:val="Normal"/>
    <w:link w:val="EndNoteBibliographyChar"/>
    <w:rsid w:val="007458B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458BA"/>
    <w:rPr>
      <w:rFonts w:ascii="Calibri" w:hAnsi="Calibri" w:cs="Calibri"/>
      <w:noProof/>
      <w:lang w:val="en-US"/>
    </w:rPr>
  </w:style>
  <w:style w:type="paragraph" w:styleId="ListParagraph">
    <w:name w:val="List Paragraph"/>
    <w:basedOn w:val="Normal"/>
    <w:uiPriority w:val="34"/>
    <w:qFormat/>
    <w:rsid w:val="00AE2B94"/>
    <w:pPr>
      <w:ind w:left="720"/>
      <w:contextualSpacing/>
    </w:pPr>
  </w:style>
  <w:style w:type="paragraph" w:styleId="HTMLPreformatted">
    <w:name w:val="HTML Preformatted"/>
    <w:basedOn w:val="Normal"/>
    <w:link w:val="HTMLPreformattedChar"/>
    <w:uiPriority w:val="99"/>
    <w:semiHidden/>
    <w:unhideWhenUsed/>
    <w:rsid w:val="00E8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E816F3"/>
    <w:rPr>
      <w:rFonts w:ascii="Courier New" w:eastAsia="Times New Roman" w:hAnsi="Courier New" w:cs="Courier New"/>
      <w:sz w:val="20"/>
      <w:szCs w:val="20"/>
      <w:lang w:eastAsia="pt-PT"/>
    </w:rPr>
  </w:style>
  <w:style w:type="table" w:customStyle="1" w:styleId="TableSimple111">
    <w:name w:val="Table Simple 111"/>
    <w:basedOn w:val="TableNormal"/>
    <w:next w:val="TableSimple1"/>
    <w:rsid w:val="00D72536"/>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12">
    <w:name w:val="Tabela simples 1112"/>
    <w:basedOn w:val="TableNormal"/>
    <w:next w:val="TableSimple1"/>
    <w:rsid w:val="00D72536"/>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21">
    <w:name w:val="Tabela simples 1121"/>
    <w:basedOn w:val="TableNormal"/>
    <w:next w:val="TableSimple1"/>
    <w:rsid w:val="00D72536"/>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elasimples117">
    <w:name w:val="Tabela simples 117"/>
    <w:basedOn w:val="TableNormal"/>
    <w:rsid w:val="00D72536"/>
    <w:pPr>
      <w:spacing w:before="40" w:after="40" w:line="300" w:lineRule="auto"/>
    </w:pPr>
    <w:rPr>
      <w:rFonts w:ascii="Calibri" w:eastAsia="Times New Roman" w:hAnsi="Calibri" w:cs="Times New Roman"/>
      <w:sz w:val="20"/>
      <w:szCs w:val="20"/>
      <w:lang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4697">
      <w:bodyDiv w:val="1"/>
      <w:marLeft w:val="0"/>
      <w:marRight w:val="0"/>
      <w:marTop w:val="0"/>
      <w:marBottom w:val="0"/>
      <w:divBdr>
        <w:top w:val="none" w:sz="0" w:space="0" w:color="auto"/>
        <w:left w:val="none" w:sz="0" w:space="0" w:color="auto"/>
        <w:bottom w:val="none" w:sz="0" w:space="0" w:color="auto"/>
        <w:right w:val="none" w:sz="0" w:space="0" w:color="auto"/>
      </w:divBdr>
    </w:div>
    <w:div w:id="130750344">
      <w:bodyDiv w:val="1"/>
      <w:marLeft w:val="0"/>
      <w:marRight w:val="0"/>
      <w:marTop w:val="0"/>
      <w:marBottom w:val="0"/>
      <w:divBdr>
        <w:top w:val="none" w:sz="0" w:space="0" w:color="auto"/>
        <w:left w:val="none" w:sz="0" w:space="0" w:color="auto"/>
        <w:bottom w:val="none" w:sz="0" w:space="0" w:color="auto"/>
        <w:right w:val="none" w:sz="0" w:space="0" w:color="auto"/>
      </w:divBdr>
    </w:div>
    <w:div w:id="185102043">
      <w:bodyDiv w:val="1"/>
      <w:marLeft w:val="0"/>
      <w:marRight w:val="0"/>
      <w:marTop w:val="0"/>
      <w:marBottom w:val="0"/>
      <w:divBdr>
        <w:top w:val="none" w:sz="0" w:space="0" w:color="auto"/>
        <w:left w:val="none" w:sz="0" w:space="0" w:color="auto"/>
        <w:bottom w:val="none" w:sz="0" w:space="0" w:color="auto"/>
        <w:right w:val="none" w:sz="0" w:space="0" w:color="auto"/>
      </w:divBdr>
    </w:div>
    <w:div w:id="230434951">
      <w:bodyDiv w:val="1"/>
      <w:marLeft w:val="0"/>
      <w:marRight w:val="0"/>
      <w:marTop w:val="0"/>
      <w:marBottom w:val="0"/>
      <w:divBdr>
        <w:top w:val="none" w:sz="0" w:space="0" w:color="auto"/>
        <w:left w:val="none" w:sz="0" w:space="0" w:color="auto"/>
        <w:bottom w:val="none" w:sz="0" w:space="0" w:color="auto"/>
        <w:right w:val="none" w:sz="0" w:space="0" w:color="auto"/>
      </w:divBdr>
    </w:div>
    <w:div w:id="237254910">
      <w:bodyDiv w:val="1"/>
      <w:marLeft w:val="0"/>
      <w:marRight w:val="0"/>
      <w:marTop w:val="0"/>
      <w:marBottom w:val="0"/>
      <w:divBdr>
        <w:top w:val="none" w:sz="0" w:space="0" w:color="auto"/>
        <w:left w:val="none" w:sz="0" w:space="0" w:color="auto"/>
        <w:bottom w:val="none" w:sz="0" w:space="0" w:color="auto"/>
        <w:right w:val="none" w:sz="0" w:space="0" w:color="auto"/>
      </w:divBdr>
    </w:div>
    <w:div w:id="294331907">
      <w:bodyDiv w:val="1"/>
      <w:marLeft w:val="0"/>
      <w:marRight w:val="0"/>
      <w:marTop w:val="0"/>
      <w:marBottom w:val="0"/>
      <w:divBdr>
        <w:top w:val="none" w:sz="0" w:space="0" w:color="auto"/>
        <w:left w:val="none" w:sz="0" w:space="0" w:color="auto"/>
        <w:bottom w:val="none" w:sz="0" w:space="0" w:color="auto"/>
        <w:right w:val="none" w:sz="0" w:space="0" w:color="auto"/>
      </w:divBdr>
    </w:div>
    <w:div w:id="348525825">
      <w:bodyDiv w:val="1"/>
      <w:marLeft w:val="0"/>
      <w:marRight w:val="0"/>
      <w:marTop w:val="0"/>
      <w:marBottom w:val="0"/>
      <w:divBdr>
        <w:top w:val="none" w:sz="0" w:space="0" w:color="auto"/>
        <w:left w:val="none" w:sz="0" w:space="0" w:color="auto"/>
        <w:bottom w:val="none" w:sz="0" w:space="0" w:color="auto"/>
        <w:right w:val="none" w:sz="0" w:space="0" w:color="auto"/>
      </w:divBdr>
    </w:div>
    <w:div w:id="459227489">
      <w:bodyDiv w:val="1"/>
      <w:marLeft w:val="0"/>
      <w:marRight w:val="0"/>
      <w:marTop w:val="0"/>
      <w:marBottom w:val="0"/>
      <w:divBdr>
        <w:top w:val="none" w:sz="0" w:space="0" w:color="auto"/>
        <w:left w:val="none" w:sz="0" w:space="0" w:color="auto"/>
        <w:bottom w:val="none" w:sz="0" w:space="0" w:color="auto"/>
        <w:right w:val="none" w:sz="0" w:space="0" w:color="auto"/>
      </w:divBdr>
    </w:div>
    <w:div w:id="459230089">
      <w:bodyDiv w:val="1"/>
      <w:marLeft w:val="0"/>
      <w:marRight w:val="0"/>
      <w:marTop w:val="0"/>
      <w:marBottom w:val="0"/>
      <w:divBdr>
        <w:top w:val="none" w:sz="0" w:space="0" w:color="auto"/>
        <w:left w:val="none" w:sz="0" w:space="0" w:color="auto"/>
        <w:bottom w:val="none" w:sz="0" w:space="0" w:color="auto"/>
        <w:right w:val="none" w:sz="0" w:space="0" w:color="auto"/>
      </w:divBdr>
    </w:div>
    <w:div w:id="510334514">
      <w:bodyDiv w:val="1"/>
      <w:marLeft w:val="0"/>
      <w:marRight w:val="0"/>
      <w:marTop w:val="0"/>
      <w:marBottom w:val="0"/>
      <w:divBdr>
        <w:top w:val="none" w:sz="0" w:space="0" w:color="auto"/>
        <w:left w:val="none" w:sz="0" w:space="0" w:color="auto"/>
        <w:bottom w:val="none" w:sz="0" w:space="0" w:color="auto"/>
        <w:right w:val="none" w:sz="0" w:space="0" w:color="auto"/>
      </w:divBdr>
    </w:div>
    <w:div w:id="742990106">
      <w:bodyDiv w:val="1"/>
      <w:marLeft w:val="0"/>
      <w:marRight w:val="0"/>
      <w:marTop w:val="0"/>
      <w:marBottom w:val="0"/>
      <w:divBdr>
        <w:top w:val="none" w:sz="0" w:space="0" w:color="auto"/>
        <w:left w:val="none" w:sz="0" w:space="0" w:color="auto"/>
        <w:bottom w:val="none" w:sz="0" w:space="0" w:color="auto"/>
        <w:right w:val="none" w:sz="0" w:space="0" w:color="auto"/>
      </w:divBdr>
    </w:div>
    <w:div w:id="750586380">
      <w:bodyDiv w:val="1"/>
      <w:marLeft w:val="0"/>
      <w:marRight w:val="0"/>
      <w:marTop w:val="0"/>
      <w:marBottom w:val="0"/>
      <w:divBdr>
        <w:top w:val="none" w:sz="0" w:space="0" w:color="auto"/>
        <w:left w:val="none" w:sz="0" w:space="0" w:color="auto"/>
        <w:bottom w:val="none" w:sz="0" w:space="0" w:color="auto"/>
        <w:right w:val="none" w:sz="0" w:space="0" w:color="auto"/>
      </w:divBdr>
    </w:div>
    <w:div w:id="756365872">
      <w:bodyDiv w:val="1"/>
      <w:marLeft w:val="0"/>
      <w:marRight w:val="0"/>
      <w:marTop w:val="0"/>
      <w:marBottom w:val="0"/>
      <w:divBdr>
        <w:top w:val="none" w:sz="0" w:space="0" w:color="auto"/>
        <w:left w:val="none" w:sz="0" w:space="0" w:color="auto"/>
        <w:bottom w:val="none" w:sz="0" w:space="0" w:color="auto"/>
        <w:right w:val="none" w:sz="0" w:space="0" w:color="auto"/>
      </w:divBdr>
    </w:div>
    <w:div w:id="836841484">
      <w:bodyDiv w:val="1"/>
      <w:marLeft w:val="0"/>
      <w:marRight w:val="0"/>
      <w:marTop w:val="0"/>
      <w:marBottom w:val="0"/>
      <w:divBdr>
        <w:top w:val="none" w:sz="0" w:space="0" w:color="auto"/>
        <w:left w:val="none" w:sz="0" w:space="0" w:color="auto"/>
        <w:bottom w:val="none" w:sz="0" w:space="0" w:color="auto"/>
        <w:right w:val="none" w:sz="0" w:space="0" w:color="auto"/>
      </w:divBdr>
    </w:div>
    <w:div w:id="863130689">
      <w:bodyDiv w:val="1"/>
      <w:marLeft w:val="0"/>
      <w:marRight w:val="0"/>
      <w:marTop w:val="0"/>
      <w:marBottom w:val="0"/>
      <w:divBdr>
        <w:top w:val="none" w:sz="0" w:space="0" w:color="auto"/>
        <w:left w:val="none" w:sz="0" w:space="0" w:color="auto"/>
        <w:bottom w:val="none" w:sz="0" w:space="0" w:color="auto"/>
        <w:right w:val="none" w:sz="0" w:space="0" w:color="auto"/>
      </w:divBdr>
    </w:div>
    <w:div w:id="870219408">
      <w:bodyDiv w:val="1"/>
      <w:marLeft w:val="0"/>
      <w:marRight w:val="0"/>
      <w:marTop w:val="0"/>
      <w:marBottom w:val="0"/>
      <w:divBdr>
        <w:top w:val="none" w:sz="0" w:space="0" w:color="auto"/>
        <w:left w:val="none" w:sz="0" w:space="0" w:color="auto"/>
        <w:bottom w:val="none" w:sz="0" w:space="0" w:color="auto"/>
        <w:right w:val="none" w:sz="0" w:space="0" w:color="auto"/>
      </w:divBdr>
    </w:div>
    <w:div w:id="984163562">
      <w:bodyDiv w:val="1"/>
      <w:marLeft w:val="0"/>
      <w:marRight w:val="0"/>
      <w:marTop w:val="0"/>
      <w:marBottom w:val="0"/>
      <w:divBdr>
        <w:top w:val="none" w:sz="0" w:space="0" w:color="auto"/>
        <w:left w:val="none" w:sz="0" w:space="0" w:color="auto"/>
        <w:bottom w:val="none" w:sz="0" w:space="0" w:color="auto"/>
        <w:right w:val="none" w:sz="0" w:space="0" w:color="auto"/>
      </w:divBdr>
      <w:divsChild>
        <w:div w:id="1617524503">
          <w:marLeft w:val="0"/>
          <w:marRight w:val="0"/>
          <w:marTop w:val="0"/>
          <w:marBottom w:val="0"/>
          <w:divBdr>
            <w:top w:val="none" w:sz="0" w:space="0" w:color="auto"/>
            <w:left w:val="none" w:sz="0" w:space="0" w:color="auto"/>
            <w:bottom w:val="none" w:sz="0" w:space="0" w:color="auto"/>
            <w:right w:val="none" w:sz="0" w:space="0" w:color="auto"/>
          </w:divBdr>
        </w:div>
        <w:div w:id="1496333914">
          <w:marLeft w:val="0"/>
          <w:marRight w:val="0"/>
          <w:marTop w:val="0"/>
          <w:marBottom w:val="0"/>
          <w:divBdr>
            <w:top w:val="none" w:sz="0" w:space="0" w:color="auto"/>
            <w:left w:val="none" w:sz="0" w:space="0" w:color="auto"/>
            <w:bottom w:val="none" w:sz="0" w:space="0" w:color="auto"/>
            <w:right w:val="none" w:sz="0" w:space="0" w:color="auto"/>
          </w:divBdr>
        </w:div>
        <w:div w:id="540243834">
          <w:marLeft w:val="0"/>
          <w:marRight w:val="0"/>
          <w:marTop w:val="0"/>
          <w:marBottom w:val="0"/>
          <w:divBdr>
            <w:top w:val="none" w:sz="0" w:space="0" w:color="auto"/>
            <w:left w:val="none" w:sz="0" w:space="0" w:color="auto"/>
            <w:bottom w:val="none" w:sz="0" w:space="0" w:color="auto"/>
            <w:right w:val="none" w:sz="0" w:space="0" w:color="auto"/>
          </w:divBdr>
        </w:div>
      </w:divsChild>
    </w:div>
    <w:div w:id="1042023667">
      <w:bodyDiv w:val="1"/>
      <w:marLeft w:val="0"/>
      <w:marRight w:val="0"/>
      <w:marTop w:val="0"/>
      <w:marBottom w:val="0"/>
      <w:divBdr>
        <w:top w:val="none" w:sz="0" w:space="0" w:color="auto"/>
        <w:left w:val="none" w:sz="0" w:space="0" w:color="auto"/>
        <w:bottom w:val="none" w:sz="0" w:space="0" w:color="auto"/>
        <w:right w:val="none" w:sz="0" w:space="0" w:color="auto"/>
      </w:divBdr>
    </w:div>
    <w:div w:id="1134912895">
      <w:bodyDiv w:val="1"/>
      <w:marLeft w:val="0"/>
      <w:marRight w:val="0"/>
      <w:marTop w:val="0"/>
      <w:marBottom w:val="0"/>
      <w:divBdr>
        <w:top w:val="none" w:sz="0" w:space="0" w:color="auto"/>
        <w:left w:val="none" w:sz="0" w:space="0" w:color="auto"/>
        <w:bottom w:val="none" w:sz="0" w:space="0" w:color="auto"/>
        <w:right w:val="none" w:sz="0" w:space="0" w:color="auto"/>
      </w:divBdr>
    </w:div>
    <w:div w:id="1150828484">
      <w:bodyDiv w:val="1"/>
      <w:marLeft w:val="0"/>
      <w:marRight w:val="0"/>
      <w:marTop w:val="0"/>
      <w:marBottom w:val="0"/>
      <w:divBdr>
        <w:top w:val="none" w:sz="0" w:space="0" w:color="auto"/>
        <w:left w:val="none" w:sz="0" w:space="0" w:color="auto"/>
        <w:bottom w:val="none" w:sz="0" w:space="0" w:color="auto"/>
        <w:right w:val="none" w:sz="0" w:space="0" w:color="auto"/>
      </w:divBdr>
    </w:div>
    <w:div w:id="1164975406">
      <w:bodyDiv w:val="1"/>
      <w:marLeft w:val="0"/>
      <w:marRight w:val="0"/>
      <w:marTop w:val="0"/>
      <w:marBottom w:val="0"/>
      <w:divBdr>
        <w:top w:val="none" w:sz="0" w:space="0" w:color="auto"/>
        <w:left w:val="none" w:sz="0" w:space="0" w:color="auto"/>
        <w:bottom w:val="none" w:sz="0" w:space="0" w:color="auto"/>
        <w:right w:val="none" w:sz="0" w:space="0" w:color="auto"/>
      </w:divBdr>
    </w:div>
    <w:div w:id="1251159165">
      <w:bodyDiv w:val="1"/>
      <w:marLeft w:val="0"/>
      <w:marRight w:val="0"/>
      <w:marTop w:val="0"/>
      <w:marBottom w:val="0"/>
      <w:divBdr>
        <w:top w:val="none" w:sz="0" w:space="0" w:color="auto"/>
        <w:left w:val="none" w:sz="0" w:space="0" w:color="auto"/>
        <w:bottom w:val="none" w:sz="0" w:space="0" w:color="auto"/>
        <w:right w:val="none" w:sz="0" w:space="0" w:color="auto"/>
      </w:divBdr>
    </w:div>
    <w:div w:id="1269117429">
      <w:bodyDiv w:val="1"/>
      <w:marLeft w:val="0"/>
      <w:marRight w:val="0"/>
      <w:marTop w:val="0"/>
      <w:marBottom w:val="0"/>
      <w:divBdr>
        <w:top w:val="none" w:sz="0" w:space="0" w:color="auto"/>
        <w:left w:val="none" w:sz="0" w:space="0" w:color="auto"/>
        <w:bottom w:val="none" w:sz="0" w:space="0" w:color="auto"/>
        <w:right w:val="none" w:sz="0" w:space="0" w:color="auto"/>
      </w:divBdr>
    </w:div>
    <w:div w:id="1365524576">
      <w:bodyDiv w:val="1"/>
      <w:marLeft w:val="0"/>
      <w:marRight w:val="0"/>
      <w:marTop w:val="0"/>
      <w:marBottom w:val="0"/>
      <w:divBdr>
        <w:top w:val="none" w:sz="0" w:space="0" w:color="auto"/>
        <w:left w:val="none" w:sz="0" w:space="0" w:color="auto"/>
        <w:bottom w:val="none" w:sz="0" w:space="0" w:color="auto"/>
        <w:right w:val="none" w:sz="0" w:space="0" w:color="auto"/>
      </w:divBdr>
    </w:div>
    <w:div w:id="1414087536">
      <w:bodyDiv w:val="1"/>
      <w:marLeft w:val="0"/>
      <w:marRight w:val="0"/>
      <w:marTop w:val="0"/>
      <w:marBottom w:val="0"/>
      <w:divBdr>
        <w:top w:val="none" w:sz="0" w:space="0" w:color="auto"/>
        <w:left w:val="none" w:sz="0" w:space="0" w:color="auto"/>
        <w:bottom w:val="none" w:sz="0" w:space="0" w:color="auto"/>
        <w:right w:val="none" w:sz="0" w:space="0" w:color="auto"/>
      </w:divBdr>
    </w:div>
    <w:div w:id="1477992819">
      <w:bodyDiv w:val="1"/>
      <w:marLeft w:val="0"/>
      <w:marRight w:val="0"/>
      <w:marTop w:val="0"/>
      <w:marBottom w:val="0"/>
      <w:divBdr>
        <w:top w:val="none" w:sz="0" w:space="0" w:color="auto"/>
        <w:left w:val="none" w:sz="0" w:space="0" w:color="auto"/>
        <w:bottom w:val="none" w:sz="0" w:space="0" w:color="auto"/>
        <w:right w:val="none" w:sz="0" w:space="0" w:color="auto"/>
      </w:divBdr>
    </w:div>
    <w:div w:id="1520971867">
      <w:bodyDiv w:val="1"/>
      <w:marLeft w:val="0"/>
      <w:marRight w:val="0"/>
      <w:marTop w:val="0"/>
      <w:marBottom w:val="0"/>
      <w:divBdr>
        <w:top w:val="none" w:sz="0" w:space="0" w:color="auto"/>
        <w:left w:val="none" w:sz="0" w:space="0" w:color="auto"/>
        <w:bottom w:val="none" w:sz="0" w:space="0" w:color="auto"/>
        <w:right w:val="none" w:sz="0" w:space="0" w:color="auto"/>
      </w:divBdr>
    </w:div>
    <w:div w:id="1626351395">
      <w:bodyDiv w:val="1"/>
      <w:marLeft w:val="0"/>
      <w:marRight w:val="0"/>
      <w:marTop w:val="0"/>
      <w:marBottom w:val="0"/>
      <w:divBdr>
        <w:top w:val="none" w:sz="0" w:space="0" w:color="auto"/>
        <w:left w:val="none" w:sz="0" w:space="0" w:color="auto"/>
        <w:bottom w:val="none" w:sz="0" w:space="0" w:color="auto"/>
        <w:right w:val="none" w:sz="0" w:space="0" w:color="auto"/>
      </w:divBdr>
    </w:div>
    <w:div w:id="1706909476">
      <w:bodyDiv w:val="1"/>
      <w:marLeft w:val="0"/>
      <w:marRight w:val="0"/>
      <w:marTop w:val="0"/>
      <w:marBottom w:val="0"/>
      <w:divBdr>
        <w:top w:val="none" w:sz="0" w:space="0" w:color="auto"/>
        <w:left w:val="none" w:sz="0" w:space="0" w:color="auto"/>
        <w:bottom w:val="none" w:sz="0" w:space="0" w:color="auto"/>
        <w:right w:val="none" w:sz="0" w:space="0" w:color="auto"/>
      </w:divBdr>
    </w:div>
    <w:div w:id="1712001098">
      <w:bodyDiv w:val="1"/>
      <w:marLeft w:val="0"/>
      <w:marRight w:val="0"/>
      <w:marTop w:val="0"/>
      <w:marBottom w:val="0"/>
      <w:divBdr>
        <w:top w:val="none" w:sz="0" w:space="0" w:color="auto"/>
        <w:left w:val="none" w:sz="0" w:space="0" w:color="auto"/>
        <w:bottom w:val="none" w:sz="0" w:space="0" w:color="auto"/>
        <w:right w:val="none" w:sz="0" w:space="0" w:color="auto"/>
      </w:divBdr>
    </w:div>
    <w:div w:id="1736783660">
      <w:bodyDiv w:val="1"/>
      <w:marLeft w:val="0"/>
      <w:marRight w:val="0"/>
      <w:marTop w:val="0"/>
      <w:marBottom w:val="0"/>
      <w:divBdr>
        <w:top w:val="none" w:sz="0" w:space="0" w:color="auto"/>
        <w:left w:val="none" w:sz="0" w:space="0" w:color="auto"/>
        <w:bottom w:val="none" w:sz="0" w:space="0" w:color="auto"/>
        <w:right w:val="none" w:sz="0" w:space="0" w:color="auto"/>
      </w:divBdr>
    </w:div>
    <w:div w:id="1755469903">
      <w:bodyDiv w:val="1"/>
      <w:marLeft w:val="0"/>
      <w:marRight w:val="0"/>
      <w:marTop w:val="0"/>
      <w:marBottom w:val="0"/>
      <w:divBdr>
        <w:top w:val="none" w:sz="0" w:space="0" w:color="auto"/>
        <w:left w:val="none" w:sz="0" w:space="0" w:color="auto"/>
        <w:bottom w:val="none" w:sz="0" w:space="0" w:color="auto"/>
        <w:right w:val="none" w:sz="0" w:space="0" w:color="auto"/>
      </w:divBdr>
    </w:div>
    <w:div w:id="1798447853">
      <w:bodyDiv w:val="1"/>
      <w:marLeft w:val="0"/>
      <w:marRight w:val="0"/>
      <w:marTop w:val="0"/>
      <w:marBottom w:val="0"/>
      <w:divBdr>
        <w:top w:val="none" w:sz="0" w:space="0" w:color="auto"/>
        <w:left w:val="none" w:sz="0" w:space="0" w:color="auto"/>
        <w:bottom w:val="none" w:sz="0" w:space="0" w:color="auto"/>
        <w:right w:val="none" w:sz="0" w:space="0" w:color="auto"/>
      </w:divBdr>
    </w:div>
    <w:div w:id="1806041404">
      <w:bodyDiv w:val="1"/>
      <w:marLeft w:val="0"/>
      <w:marRight w:val="0"/>
      <w:marTop w:val="0"/>
      <w:marBottom w:val="0"/>
      <w:divBdr>
        <w:top w:val="none" w:sz="0" w:space="0" w:color="auto"/>
        <w:left w:val="none" w:sz="0" w:space="0" w:color="auto"/>
        <w:bottom w:val="none" w:sz="0" w:space="0" w:color="auto"/>
        <w:right w:val="none" w:sz="0" w:space="0" w:color="auto"/>
      </w:divBdr>
    </w:div>
    <w:div w:id="1899973290">
      <w:bodyDiv w:val="1"/>
      <w:marLeft w:val="0"/>
      <w:marRight w:val="0"/>
      <w:marTop w:val="0"/>
      <w:marBottom w:val="0"/>
      <w:divBdr>
        <w:top w:val="none" w:sz="0" w:space="0" w:color="auto"/>
        <w:left w:val="none" w:sz="0" w:space="0" w:color="auto"/>
        <w:bottom w:val="none" w:sz="0" w:space="0" w:color="auto"/>
        <w:right w:val="none" w:sz="0" w:space="0" w:color="auto"/>
      </w:divBdr>
    </w:div>
    <w:div w:id="1900168819">
      <w:bodyDiv w:val="1"/>
      <w:marLeft w:val="0"/>
      <w:marRight w:val="0"/>
      <w:marTop w:val="0"/>
      <w:marBottom w:val="0"/>
      <w:divBdr>
        <w:top w:val="none" w:sz="0" w:space="0" w:color="auto"/>
        <w:left w:val="none" w:sz="0" w:space="0" w:color="auto"/>
        <w:bottom w:val="none" w:sz="0" w:space="0" w:color="auto"/>
        <w:right w:val="none" w:sz="0" w:space="0" w:color="auto"/>
      </w:divBdr>
    </w:div>
    <w:div w:id="2042435026">
      <w:bodyDiv w:val="1"/>
      <w:marLeft w:val="0"/>
      <w:marRight w:val="0"/>
      <w:marTop w:val="0"/>
      <w:marBottom w:val="0"/>
      <w:divBdr>
        <w:top w:val="none" w:sz="0" w:space="0" w:color="auto"/>
        <w:left w:val="none" w:sz="0" w:space="0" w:color="auto"/>
        <w:bottom w:val="none" w:sz="0" w:space="0" w:color="auto"/>
        <w:right w:val="none" w:sz="0" w:space="0" w:color="auto"/>
      </w:divBdr>
    </w:div>
    <w:div w:id="2081128018">
      <w:bodyDiv w:val="1"/>
      <w:marLeft w:val="0"/>
      <w:marRight w:val="0"/>
      <w:marTop w:val="0"/>
      <w:marBottom w:val="0"/>
      <w:divBdr>
        <w:top w:val="none" w:sz="0" w:space="0" w:color="auto"/>
        <w:left w:val="none" w:sz="0" w:space="0" w:color="auto"/>
        <w:bottom w:val="none" w:sz="0" w:space="0" w:color="auto"/>
        <w:right w:val="none" w:sz="0" w:space="0" w:color="auto"/>
      </w:divBdr>
    </w:div>
    <w:div w:id="2128041736">
      <w:bodyDiv w:val="1"/>
      <w:marLeft w:val="0"/>
      <w:marRight w:val="0"/>
      <w:marTop w:val="0"/>
      <w:marBottom w:val="0"/>
      <w:divBdr>
        <w:top w:val="none" w:sz="0" w:space="0" w:color="auto"/>
        <w:left w:val="none" w:sz="0" w:space="0" w:color="auto"/>
        <w:bottom w:val="none" w:sz="0" w:space="0" w:color="auto"/>
        <w:right w:val="none" w:sz="0" w:space="0" w:color="auto"/>
      </w:divBdr>
    </w:div>
    <w:div w:id="21461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969246768682"/>
          <c:y val="0.0949951359821004"/>
          <c:w val="0.818490757962186"/>
          <c:h val="0.645169275248957"/>
        </c:manualLayout>
      </c:layout>
      <c:scatterChart>
        <c:scatterStyle val="smoothMarker"/>
        <c:varyColors val="0"/>
        <c:ser>
          <c:idx val="0"/>
          <c:order val="0"/>
          <c:marker>
            <c:symbol val="none"/>
          </c:marker>
          <c:xVal>
            <c:numRef>
              <c:f>Sheet1!$A$1:$A$90</c:f>
              <c:numCache>
                <c:formatCode>General</c:formatCode>
                <c:ptCount val="9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numCache>
            </c:numRef>
          </c:xVal>
          <c:yVal>
            <c:numRef>
              <c:f>Sheet1!$B$1:$B$90</c:f>
              <c:numCache>
                <c:formatCode>General</c:formatCode>
                <c:ptCount val="90"/>
                <c:pt idx="0">
                  <c:v>0.156061028601512</c:v>
                </c:pt>
                <c:pt idx="1">
                  <c:v>0.299883576287169</c:v>
                </c:pt>
                <c:pt idx="2">
                  <c:v>0.432187459607907</c:v>
                </c:pt>
                <c:pt idx="3">
                  <c:v>0.553654862567135</c:v>
                </c:pt>
                <c:pt idx="4">
                  <c:v>0.664932181112282</c:v>
                </c:pt>
                <c:pt idx="5">
                  <c:v>0.766631780838242</c:v>
                </c:pt>
                <c:pt idx="6">
                  <c:v>0.859333671872575</c:v>
                </c:pt>
                <c:pt idx="7">
                  <c:v>0.943587104735027</c:v>
                </c:pt>
                <c:pt idx="8">
                  <c:v>1.019912090793458</c:v>
                </c:pt>
                <c:pt idx="9">
                  <c:v>1.088800850775689</c:v>
                </c:pt>
                <c:pt idx="10">
                  <c:v>1.150719194641896</c:v>
                </c:pt>
                <c:pt idx="11">
                  <c:v>1.206107835972858</c:v>
                </c:pt>
                <c:pt idx="12">
                  <c:v>1.255383643888382</c:v>
                </c:pt>
                <c:pt idx="13">
                  <c:v>1.298940835373482</c:v>
                </c:pt>
                <c:pt idx="14">
                  <c:v>1.337152110761307</c:v>
                </c:pt>
                <c:pt idx="15">
                  <c:v>1.370369734996998</c:v>
                </c:pt>
                <c:pt idx="16">
                  <c:v>1.398926567189026</c:v>
                </c:pt>
                <c:pt idx="17">
                  <c:v>1.423137040840408</c:v>
                </c:pt>
                <c:pt idx="18">
                  <c:v>1.443298097045141</c:v>
                </c:pt>
                <c:pt idx="19">
                  <c:v>1.459690072831206</c:v>
                </c:pt>
                <c:pt idx="20">
                  <c:v>1.472577546732294</c:v>
                </c:pt>
                <c:pt idx="21">
                  <c:v>1.482210143577664</c:v>
                </c:pt>
                <c:pt idx="22">
                  <c:v>1.488823300397224</c:v>
                </c:pt>
                <c:pt idx="23">
                  <c:v>1.492638995254481</c:v>
                </c:pt>
                <c:pt idx="24">
                  <c:v>1.493866440736934</c:v>
                </c:pt>
                <c:pt idx="25">
                  <c:v>1.49270274375468</c:v>
                </c:pt>
                <c:pt idx="26">
                  <c:v>1.489333533223702</c:v>
                </c:pt>
                <c:pt idx="27">
                  <c:v>1.483933557137343</c:v>
                </c:pt>
                <c:pt idx="28">
                  <c:v>1.476667250462071</c:v>
                </c:pt>
                <c:pt idx="29">
                  <c:v>1.467689275226955</c:v>
                </c:pt>
                <c:pt idx="30">
                  <c:v>1.45714503411504</c:v>
                </c:pt>
                <c:pt idx="31">
                  <c:v>1.445171158803594</c:v>
                </c:pt>
                <c:pt idx="32">
                  <c:v>1.43189597424433</c:v>
                </c:pt>
                <c:pt idx="33">
                  <c:v>1.417439940019232</c:v>
                </c:pt>
                <c:pt idx="34">
                  <c:v>1.40191606985623</c:v>
                </c:pt>
                <c:pt idx="35">
                  <c:v>1.385430330338534</c:v>
                </c:pt>
                <c:pt idx="36">
                  <c:v>1.36808201979478</c:v>
                </c:pt>
                <c:pt idx="37">
                  <c:v>1.349964128310632</c:v>
                </c:pt>
                <c:pt idx="38">
                  <c:v>1.331163679760468</c:v>
                </c:pt>
                <c:pt idx="39">
                  <c:v>1.311762056714874</c:v>
                </c:pt>
                <c:pt idx="40">
                  <c:v>1.291835309041692</c:v>
                </c:pt>
                <c:pt idx="41">
                  <c:v>1.271454446979416</c:v>
                </c:pt>
                <c:pt idx="42">
                  <c:v>1.250685719426346</c:v>
                </c:pt>
                <c:pt idx="43">
                  <c:v>1.229590878154223</c:v>
                </c:pt>
                <c:pt idx="44">
                  <c:v>1.208227428622453</c:v>
                </c:pt>
                <c:pt idx="45">
                  <c:v>1.186648868037168</c:v>
                </c:pt>
                <c:pt idx="46">
                  <c:v>1.16490491127026</c:v>
                </c:pt>
                <c:pt idx="47">
                  <c:v>1.143041705223973</c:v>
                </c:pt>
                <c:pt idx="48">
                  <c:v>1.121102032200062</c:v>
                </c:pt>
                <c:pt idx="49">
                  <c:v>1.09912550280615</c:v>
                </c:pt>
                <c:pt idx="50">
                  <c:v>1.07714873890712</c:v>
                </c:pt>
                <c:pt idx="51">
                  <c:v>1.055205547105618</c:v>
                </c:pt>
                <c:pt idx="52">
                  <c:v>1.033327083213143</c:v>
                </c:pt>
                <c:pt idx="53">
                  <c:v>1.011542008151474</c:v>
                </c:pt>
                <c:pt idx="54">
                  <c:v>0.989876635703664</c:v>
                </c:pt>
                <c:pt idx="55">
                  <c:v>0.968355072514044</c:v>
                </c:pt>
                <c:pt idx="56">
                  <c:v>0.946999350717878</c:v>
                </c:pt>
                <c:pt idx="57">
                  <c:v>0.925829553563568</c:v>
                </c:pt>
                <c:pt idx="58">
                  <c:v>0.904863934372748</c:v>
                </c:pt>
                <c:pt idx="59">
                  <c:v>0.88411902916795</c:v>
                </c:pt>
                <c:pt idx="60">
                  <c:v>0.863609763281155</c:v>
                </c:pt>
                <c:pt idx="61">
                  <c:v>0.843349552242312</c:v>
                </c:pt>
                <c:pt idx="62">
                  <c:v>0.823350397232574</c:v>
                </c:pt>
                <c:pt idx="63">
                  <c:v>0.803622975373132</c:v>
                </c:pt>
                <c:pt idx="64">
                  <c:v>0.784176725108026</c:v>
                </c:pt>
                <c:pt idx="65">
                  <c:v>0.765019926926898</c:v>
                </c:pt>
                <c:pt idx="66">
                  <c:v>0.746159779661718</c:v>
                </c:pt>
                <c:pt idx="67">
                  <c:v>0.727602472580696</c:v>
                </c:pt>
                <c:pt idx="68">
                  <c:v>0.709353253491295</c:v>
                </c:pt>
                <c:pt idx="69">
                  <c:v>0.691416493054991</c:v>
                </c:pt>
                <c:pt idx="70">
                  <c:v>0.673795745505601</c:v>
                </c:pt>
                <c:pt idx="71">
                  <c:v>0.656493805954681</c:v>
                </c:pt>
                <c:pt idx="72">
                  <c:v>0.639512764458367</c:v>
                </c:pt>
                <c:pt idx="73">
                  <c:v>0.622854057011086</c:v>
                </c:pt>
                <c:pt idx="74">
                  <c:v>0.606518513624418</c:v>
                </c:pt>
                <c:pt idx="75">
                  <c:v>0.590506403641236</c:v>
                </c:pt>
                <c:pt idx="76">
                  <c:v>0.574817478427828</c:v>
                </c:pt>
                <c:pt idx="77">
                  <c:v>0.559451011580036</c:v>
                </c:pt>
                <c:pt idx="78">
                  <c:v>0.544405836772897</c:v>
                </c:pt>
                <c:pt idx="79">
                  <c:v>0.529680383376482</c:v>
                </c:pt>
                <c:pt idx="80">
                  <c:v>0.5152727099552</c:v>
                </c:pt>
                <c:pt idx="81">
                  <c:v>0.501180535761542</c:v>
                </c:pt>
                <c:pt idx="82">
                  <c:v>0.487401270330214</c:v>
                </c:pt>
                <c:pt idx="83">
                  <c:v>0.473932041273086</c:v>
                </c:pt>
                <c:pt idx="84">
                  <c:v>0.46076972037074</c:v>
                </c:pt>
                <c:pt idx="85">
                  <c:v>0.44791094805118</c:v>
                </c:pt>
                <c:pt idx="86">
                  <c:v>0.435352156342329</c:v>
                </c:pt>
                <c:pt idx="87">
                  <c:v>0.423089590380226</c:v>
                </c:pt>
                <c:pt idx="88">
                  <c:v>0.411119328550924</c:v>
                </c:pt>
                <c:pt idx="89">
                  <c:v>0.399437301340241</c:v>
                </c:pt>
              </c:numCache>
            </c:numRef>
          </c:yVal>
          <c:smooth val="1"/>
          <c:extLst xmlns:c16r2="http://schemas.microsoft.com/office/drawing/2015/06/chart">
            <c:ext xmlns:c16="http://schemas.microsoft.com/office/drawing/2014/chart" uri="{C3380CC4-5D6E-409C-BE32-E72D297353CC}">
              <c16:uniqueId val="{00000000-8D75-465D-9CA8-0215E0264657}"/>
            </c:ext>
          </c:extLst>
        </c:ser>
        <c:dLbls>
          <c:showLegendKey val="0"/>
          <c:showVal val="0"/>
          <c:showCatName val="0"/>
          <c:showSerName val="0"/>
          <c:showPercent val="0"/>
          <c:showBubbleSize val="0"/>
        </c:dLbls>
        <c:axId val="-187408352"/>
        <c:axId val="-187404960"/>
      </c:scatterChart>
      <c:valAx>
        <c:axId val="-187408352"/>
        <c:scaling>
          <c:orientation val="minMax"/>
          <c:max val="90.0"/>
          <c:min val="0.0"/>
        </c:scaling>
        <c:delete val="0"/>
        <c:axPos val="b"/>
        <c:title>
          <c:tx>
            <c:rich>
              <a:bodyPr/>
              <a:lstStyle/>
              <a:p>
                <a:pPr>
                  <a:defRPr/>
                </a:pPr>
                <a:r>
                  <a:rPr lang="pt-PT"/>
                  <a:t>Idade</a:t>
                </a:r>
              </a:p>
            </c:rich>
          </c:tx>
          <c:layout>
            <c:manualLayout>
              <c:xMode val="edge"/>
              <c:yMode val="edge"/>
              <c:x val="0.44989500074867"/>
              <c:y val="0.88296801629756"/>
            </c:manualLayout>
          </c:layout>
          <c:overlay val="0"/>
        </c:title>
        <c:numFmt formatCode="General" sourceLinked="1"/>
        <c:majorTickMark val="out"/>
        <c:minorTickMark val="none"/>
        <c:tickLblPos val="nextTo"/>
        <c:txPr>
          <a:bodyPr rot="0" vert="horz"/>
          <a:lstStyle/>
          <a:p>
            <a:pPr>
              <a:defRPr/>
            </a:pPr>
            <a:endParaRPr lang="en-GB"/>
          </a:p>
        </c:txPr>
        <c:crossAx val="-187404960"/>
        <c:crosses val="autoZero"/>
        <c:crossBetween val="midCat"/>
      </c:valAx>
      <c:valAx>
        <c:axId val="-187404960"/>
        <c:scaling>
          <c:orientation val="minMax"/>
        </c:scaling>
        <c:delete val="0"/>
        <c:axPos val="l"/>
        <c:title>
          <c:tx>
            <c:rich>
              <a:bodyPr/>
              <a:lstStyle/>
              <a:p>
                <a:pPr>
                  <a:defRPr/>
                </a:pPr>
                <a:r>
                  <a:rPr lang="pt-PT"/>
                  <a:t>Peso</a:t>
                </a:r>
              </a:p>
            </c:rich>
          </c:tx>
          <c:layout>
            <c:manualLayout>
              <c:xMode val="edge"/>
              <c:yMode val="edge"/>
              <c:x val="0.00106447778933294"/>
              <c:y val="0.33874060303921"/>
            </c:manualLayout>
          </c:layout>
          <c:overlay val="0"/>
        </c:title>
        <c:numFmt formatCode="#,##0.0" sourceLinked="0"/>
        <c:majorTickMark val="out"/>
        <c:minorTickMark val="none"/>
        <c:tickLblPos val="nextTo"/>
        <c:txPr>
          <a:bodyPr rot="0" vert="horz"/>
          <a:lstStyle/>
          <a:p>
            <a:pPr>
              <a:defRPr/>
            </a:pPr>
            <a:endParaRPr lang="en-GB"/>
          </a:p>
        </c:txPr>
        <c:crossAx val="-187408352"/>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665E859-BD75-984A-B314-41175B40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Costa</dc:creator>
  <cp:keywords/>
  <dc:description/>
  <cp:lastModifiedBy>Tiago Campos</cp:lastModifiedBy>
  <cp:revision>8</cp:revision>
  <cp:lastPrinted>2017-12-21T18:47:00Z</cp:lastPrinted>
  <dcterms:created xsi:type="dcterms:W3CDTF">2017-12-21T18:47:00Z</dcterms:created>
  <dcterms:modified xsi:type="dcterms:W3CDTF">2018-01-09T14:37:00Z</dcterms:modified>
</cp:coreProperties>
</file>